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79A8A6" w14:textId="6C75CD8E" w:rsidR="00F346C1" w:rsidRPr="00F346C1" w:rsidRDefault="00F346C1" w:rsidP="00F346C1">
      <w:pPr>
        <w:pStyle w:val="NoSpacing"/>
        <w:rPr>
          <w:rFonts w:ascii="Open Sans" w:eastAsia="Calibri" w:hAnsi="Open Sans" w:cs="Open Sans"/>
          <w:color w:val="000000" w:themeColor="text1"/>
          <w:sz w:val="20"/>
          <w:szCs w:val="20"/>
        </w:rPr>
      </w:pPr>
      <w:r w:rsidRPr="00F346C1">
        <w:rPr>
          <w:rFonts w:ascii="Open Sans" w:eastAsia="Calibri" w:hAnsi="Open Sans" w:cs="Open Sans"/>
          <w:b/>
          <w:bCs/>
          <w:color w:val="000000" w:themeColor="text1"/>
          <w:sz w:val="20"/>
          <w:szCs w:val="20"/>
        </w:rPr>
        <w:t>Participants:</w:t>
      </w:r>
      <w:r w:rsidRPr="00F346C1">
        <w:rPr>
          <w:rFonts w:ascii="Open Sans" w:eastAsia="Calibri" w:hAnsi="Open Sans" w:cs="Open Sans"/>
          <w:color w:val="000000" w:themeColor="text1"/>
          <w:sz w:val="20"/>
          <w:szCs w:val="20"/>
        </w:rPr>
        <w:t xml:space="preserve"> Sujata Narayan (Equinix, Inc.), Irissol Arce (Northwestern Mutual), Jennifer Brunelle (NRG Energy, Inc.), Aditi Trehan (Tata Consultancy Services), Kitsy Blanc (PwC, LLP), Monica Council-Miles (BD), Johnel Evans (BD)</w:t>
      </w:r>
    </w:p>
    <w:p w14:paraId="16E45CD5" w14:textId="77777777" w:rsidR="00F346C1" w:rsidRPr="00F346C1" w:rsidRDefault="00F346C1" w:rsidP="00F346C1">
      <w:pPr>
        <w:pStyle w:val="NoSpacing"/>
        <w:rPr>
          <w:rFonts w:ascii="Open Sans" w:eastAsia="Calibri" w:hAnsi="Open Sans" w:cs="Open Sans"/>
          <w:b/>
          <w:bCs/>
          <w:color w:val="000000" w:themeColor="text1"/>
          <w:sz w:val="20"/>
          <w:szCs w:val="20"/>
        </w:rPr>
      </w:pPr>
    </w:p>
    <w:p w14:paraId="2E075214" w14:textId="63CEFD9D" w:rsidR="00F346C1" w:rsidRPr="00F346C1" w:rsidRDefault="00F346C1" w:rsidP="00F346C1">
      <w:pPr>
        <w:pStyle w:val="NoSpacing"/>
        <w:rPr>
          <w:rFonts w:ascii="Open Sans" w:eastAsia="Calibri" w:hAnsi="Open Sans" w:cs="Open Sans"/>
          <w:color w:val="000000" w:themeColor="text1"/>
          <w:sz w:val="20"/>
          <w:szCs w:val="20"/>
        </w:rPr>
      </w:pPr>
      <w:r w:rsidRPr="00F346C1">
        <w:rPr>
          <w:rFonts w:ascii="Open Sans" w:eastAsia="Calibri" w:hAnsi="Open Sans" w:cs="Open Sans"/>
          <w:b/>
          <w:bCs/>
          <w:color w:val="000000" w:themeColor="text1"/>
          <w:sz w:val="20"/>
          <w:szCs w:val="20"/>
        </w:rPr>
        <w:t>Guest Speakers:</w:t>
      </w:r>
      <w:r w:rsidRPr="00F346C1">
        <w:rPr>
          <w:rFonts w:ascii="Open Sans" w:eastAsia="Calibri" w:hAnsi="Open Sans" w:cs="Open Sans"/>
          <w:color w:val="000000" w:themeColor="text1"/>
          <w:sz w:val="20"/>
          <w:szCs w:val="20"/>
        </w:rPr>
        <w:t xml:space="preserve"> Trella Walker (NFF), Jackie Berry (3M)</w:t>
      </w:r>
    </w:p>
    <w:p w14:paraId="53539416" w14:textId="77777777" w:rsidR="00F346C1" w:rsidRPr="00F346C1" w:rsidRDefault="00F346C1" w:rsidP="00F346C1">
      <w:pPr>
        <w:pStyle w:val="NoSpacing"/>
        <w:rPr>
          <w:rFonts w:ascii="Open Sans" w:eastAsia="Calibri" w:hAnsi="Open Sans" w:cs="Open Sans"/>
          <w:b/>
          <w:bCs/>
          <w:color w:val="000000" w:themeColor="text1"/>
          <w:sz w:val="20"/>
          <w:szCs w:val="20"/>
        </w:rPr>
      </w:pPr>
    </w:p>
    <w:p w14:paraId="57A16A54" w14:textId="41D0DFE4" w:rsidR="00F346C1" w:rsidRPr="00F346C1" w:rsidRDefault="00F346C1" w:rsidP="00F346C1">
      <w:pPr>
        <w:pStyle w:val="NoSpacing"/>
        <w:rPr>
          <w:rFonts w:ascii="Open Sans" w:eastAsia="Calibri" w:hAnsi="Open Sans" w:cs="Open Sans"/>
          <w:color w:val="000000" w:themeColor="text1"/>
          <w:sz w:val="20"/>
          <w:szCs w:val="20"/>
        </w:rPr>
      </w:pPr>
      <w:r w:rsidRPr="00F346C1">
        <w:rPr>
          <w:rFonts w:ascii="Open Sans" w:eastAsia="Calibri" w:hAnsi="Open Sans" w:cs="Open Sans"/>
          <w:b/>
          <w:bCs/>
          <w:color w:val="000000" w:themeColor="text1"/>
          <w:sz w:val="20"/>
          <w:szCs w:val="20"/>
        </w:rPr>
        <w:t>Facilitators</w:t>
      </w:r>
      <w:r w:rsidRPr="00F346C1">
        <w:rPr>
          <w:rFonts w:ascii="Open Sans" w:eastAsia="Calibri" w:hAnsi="Open Sans" w:cs="Open Sans"/>
          <w:color w:val="000000" w:themeColor="text1"/>
          <w:sz w:val="20"/>
          <w:szCs w:val="20"/>
        </w:rPr>
        <w:t xml:space="preserve">: Jeannine K Brown, Jinny Jeong (CECP), </w:t>
      </w:r>
      <w:r w:rsidR="00DA43AA" w:rsidRPr="00F346C1">
        <w:rPr>
          <w:rFonts w:ascii="Open Sans" w:eastAsia="Calibri" w:hAnsi="Open Sans" w:cs="Open Sans"/>
          <w:color w:val="000000" w:themeColor="text1"/>
          <w:sz w:val="20"/>
          <w:szCs w:val="20"/>
        </w:rPr>
        <w:t xml:space="preserve">Nandika Madgavkar (CECP), </w:t>
      </w:r>
      <w:r w:rsidRPr="00F346C1">
        <w:rPr>
          <w:rFonts w:ascii="Open Sans" w:eastAsia="Calibri" w:hAnsi="Open Sans" w:cs="Open Sans"/>
          <w:color w:val="000000" w:themeColor="text1"/>
          <w:sz w:val="20"/>
          <w:szCs w:val="20"/>
        </w:rPr>
        <w:t>Ella Snow (CECP)</w:t>
      </w:r>
    </w:p>
    <w:p w14:paraId="76813D4E" w14:textId="77777777" w:rsidR="00A479DF" w:rsidRPr="00F346C1" w:rsidRDefault="00A479DF" w:rsidP="002C3E35">
      <w:pPr>
        <w:tabs>
          <w:tab w:val="left" w:pos="851"/>
        </w:tabs>
        <w:rPr>
          <w:rFonts w:ascii="Open Sans" w:hAnsi="Open Sans" w:cs="Open Sans"/>
          <w:color w:val="000000" w:themeColor="text1"/>
          <w:sz w:val="20"/>
          <w:szCs w:val="20"/>
        </w:rPr>
      </w:pPr>
    </w:p>
    <w:p w14:paraId="681CF269" w14:textId="28A62A46" w:rsidR="00A479DF" w:rsidRPr="00F346C1" w:rsidRDefault="00A479DF" w:rsidP="00F346C1">
      <w:pPr>
        <w:tabs>
          <w:tab w:val="left" w:pos="851"/>
        </w:tabs>
        <w:jc w:val="center"/>
        <w:rPr>
          <w:rFonts w:ascii="Open Sans" w:hAnsi="Open Sans" w:cs="Open Sans"/>
          <w:b/>
          <w:bCs/>
          <w:color w:val="000000" w:themeColor="text1"/>
          <w:sz w:val="20"/>
          <w:szCs w:val="20"/>
          <w:u w:val="single"/>
        </w:rPr>
      </w:pPr>
      <w:r w:rsidRPr="00F346C1">
        <w:rPr>
          <w:rFonts w:ascii="Open Sans" w:hAnsi="Open Sans" w:cs="Open Sans"/>
          <w:noProof/>
          <w:sz w:val="20"/>
          <w:szCs w:val="20"/>
        </w:rPr>
        <w:drawing>
          <wp:inline distT="0" distB="0" distL="0" distR="0" wp14:anchorId="5E7E3390" wp14:editId="612BD2A1">
            <wp:extent cx="4994735" cy="22908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95786" cy="2291336"/>
                    </a:xfrm>
                    <a:prstGeom prst="rect">
                      <a:avLst/>
                    </a:prstGeom>
                  </pic:spPr>
                </pic:pic>
              </a:graphicData>
            </a:graphic>
          </wp:inline>
        </w:drawing>
      </w:r>
    </w:p>
    <w:p w14:paraId="12573BF0" w14:textId="77777777" w:rsidR="00A479DF" w:rsidRPr="00F346C1" w:rsidRDefault="00A479DF" w:rsidP="002C3E35">
      <w:pPr>
        <w:tabs>
          <w:tab w:val="left" w:pos="851"/>
        </w:tabs>
        <w:rPr>
          <w:rFonts w:ascii="Open Sans" w:hAnsi="Open Sans" w:cs="Open Sans"/>
          <w:b/>
          <w:bCs/>
          <w:color w:val="000000" w:themeColor="text1"/>
          <w:sz w:val="20"/>
          <w:szCs w:val="20"/>
          <w:u w:val="single"/>
        </w:rPr>
      </w:pPr>
    </w:p>
    <w:p w14:paraId="701ABC02" w14:textId="70F13003" w:rsidR="00A833DA" w:rsidRPr="00F346C1" w:rsidRDefault="002C3E35" w:rsidP="002C3E35">
      <w:pPr>
        <w:tabs>
          <w:tab w:val="left" w:pos="851"/>
        </w:tabs>
        <w:rPr>
          <w:rFonts w:ascii="Open Sans" w:hAnsi="Open Sans" w:cs="Open Sans"/>
          <w:b/>
          <w:bCs/>
          <w:color w:val="000000" w:themeColor="text1"/>
          <w:sz w:val="20"/>
          <w:szCs w:val="20"/>
        </w:rPr>
      </w:pPr>
      <w:r w:rsidRPr="00F346C1">
        <w:rPr>
          <w:rFonts w:ascii="Open Sans" w:hAnsi="Open Sans" w:cs="Open Sans"/>
          <w:b/>
          <w:bCs/>
          <w:color w:val="000000" w:themeColor="text1"/>
          <w:sz w:val="20"/>
          <w:szCs w:val="20"/>
          <w:u w:val="single"/>
        </w:rPr>
        <w:t>Summary:</w:t>
      </w:r>
      <w:r w:rsidRPr="00F346C1">
        <w:rPr>
          <w:rFonts w:ascii="Open Sans" w:hAnsi="Open Sans" w:cs="Open Sans"/>
          <w:b/>
          <w:bCs/>
          <w:color w:val="000000" w:themeColor="text1"/>
          <w:sz w:val="20"/>
          <w:szCs w:val="20"/>
        </w:rPr>
        <w:t xml:space="preserve"> </w:t>
      </w:r>
    </w:p>
    <w:p w14:paraId="4D1FB741" w14:textId="43166E20" w:rsidR="002C3E35" w:rsidRPr="00F346C1" w:rsidRDefault="002C3E35" w:rsidP="002C3E35">
      <w:pPr>
        <w:tabs>
          <w:tab w:val="left" w:pos="851"/>
        </w:tabs>
        <w:rPr>
          <w:rFonts w:ascii="Open Sans" w:hAnsi="Open Sans" w:cs="Open Sans"/>
          <w:color w:val="000000" w:themeColor="text1"/>
          <w:sz w:val="20"/>
          <w:szCs w:val="20"/>
        </w:rPr>
      </w:pPr>
      <w:r w:rsidRPr="00F346C1">
        <w:rPr>
          <w:rFonts w:ascii="Open Sans" w:hAnsi="Open Sans" w:cs="Open Sans"/>
          <w:color w:val="000000" w:themeColor="text1"/>
          <w:sz w:val="20"/>
          <w:szCs w:val="20"/>
        </w:rPr>
        <w:t xml:space="preserve">The philanthropic giving and grantmaking with a lens of equity framework is a proactive, strategic approach to improving the outcomes that accounts for structural differences in opportunities, burdens and needs in order to advance targeted solution that fulfill the promise of true equity for all. Equity is achieved when an advantage or disadvantage can no longer be predicted based on race, ethnicity, gender, gender identity, sexual orientation or ability. Philanthropists and grant makers </w:t>
      </w:r>
      <w:r w:rsidRPr="00F346C1">
        <w:rPr>
          <w:rFonts w:ascii="Open Sans" w:hAnsi="Open Sans" w:cs="Open Sans"/>
          <w:color w:val="000000" w:themeColor="text1"/>
          <w:sz w:val="20"/>
          <w:szCs w:val="20"/>
          <w:u w:val="single"/>
        </w:rPr>
        <w:t>seek to create sustainable change by solving problems</w:t>
      </w:r>
      <w:r w:rsidRPr="00F346C1">
        <w:rPr>
          <w:rFonts w:ascii="Open Sans" w:hAnsi="Open Sans" w:cs="Open Sans"/>
          <w:color w:val="000000" w:themeColor="text1"/>
          <w:sz w:val="20"/>
          <w:szCs w:val="20"/>
        </w:rPr>
        <w:t xml:space="preserve"> rather than providing funds to support people facing the problems.  </w:t>
      </w:r>
    </w:p>
    <w:p w14:paraId="34E18A51" w14:textId="4B8402CB" w:rsidR="00A833DA" w:rsidRPr="00F346C1" w:rsidRDefault="00A833DA" w:rsidP="002C3E35">
      <w:pPr>
        <w:tabs>
          <w:tab w:val="left" w:pos="851"/>
        </w:tabs>
        <w:rPr>
          <w:rFonts w:ascii="Open Sans" w:hAnsi="Open Sans" w:cs="Open Sans"/>
          <w:color w:val="000000" w:themeColor="text1"/>
          <w:sz w:val="20"/>
          <w:szCs w:val="20"/>
        </w:rPr>
      </w:pPr>
    </w:p>
    <w:p w14:paraId="7BD59ECC" w14:textId="4D39E248" w:rsidR="00570E38" w:rsidRPr="00F346C1" w:rsidRDefault="00A833DA" w:rsidP="00570E38">
      <w:pPr>
        <w:tabs>
          <w:tab w:val="left" w:pos="851"/>
        </w:tabs>
        <w:ind w:hanging="11"/>
        <w:rPr>
          <w:rFonts w:ascii="Open Sans" w:hAnsi="Open Sans" w:cs="Open Sans"/>
          <w:color w:val="000000" w:themeColor="text1"/>
          <w:sz w:val="20"/>
          <w:szCs w:val="20"/>
        </w:rPr>
      </w:pPr>
      <w:r w:rsidRPr="00F346C1">
        <w:rPr>
          <w:rFonts w:ascii="Open Sans" w:hAnsi="Open Sans" w:cs="Open Sans"/>
          <w:color w:val="000000" w:themeColor="text1"/>
          <w:sz w:val="20"/>
          <w:szCs w:val="20"/>
        </w:rPr>
        <w:t xml:space="preserve">The following areas of the grantmaking process have unconscious or built-in bias that impedes on the organization’s ability to achieve equity.  </w:t>
      </w:r>
    </w:p>
    <w:p w14:paraId="3FFF584A" w14:textId="19D2E992" w:rsidR="00A833DA" w:rsidRPr="00F346C1" w:rsidRDefault="00570E38" w:rsidP="00570E38">
      <w:pPr>
        <w:tabs>
          <w:tab w:val="left" w:pos="851"/>
        </w:tabs>
        <w:jc w:val="center"/>
        <w:rPr>
          <w:rFonts w:ascii="Open Sans" w:hAnsi="Open Sans" w:cs="Open Sans"/>
          <w:color w:val="000000" w:themeColor="text1"/>
          <w:sz w:val="20"/>
          <w:szCs w:val="20"/>
        </w:rPr>
      </w:pPr>
      <w:r>
        <w:rPr>
          <w:noProof/>
        </w:rPr>
        <w:drawing>
          <wp:inline distT="0" distB="0" distL="0" distR="0" wp14:anchorId="4B57388A" wp14:editId="38A268AC">
            <wp:extent cx="5469890" cy="215251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430" b="4312"/>
                    <a:stretch/>
                  </pic:blipFill>
                  <pic:spPr bwMode="auto">
                    <a:xfrm>
                      <a:off x="0" y="0"/>
                      <a:ext cx="5470525" cy="2152766"/>
                    </a:xfrm>
                    <a:prstGeom prst="rect">
                      <a:avLst/>
                    </a:prstGeom>
                    <a:ln>
                      <a:noFill/>
                    </a:ln>
                    <a:extLst>
                      <a:ext uri="{53640926-AAD7-44D8-BBD7-CCE9431645EC}">
                        <a14:shadowObscured xmlns:a14="http://schemas.microsoft.com/office/drawing/2010/main"/>
                      </a:ext>
                    </a:extLst>
                  </pic:spPr>
                </pic:pic>
              </a:graphicData>
            </a:graphic>
          </wp:inline>
        </w:drawing>
      </w:r>
    </w:p>
    <w:p w14:paraId="7C095E7A" w14:textId="413A8E59" w:rsidR="00A833DA" w:rsidRPr="00F346C1" w:rsidRDefault="00A833DA" w:rsidP="00A833DA">
      <w:pPr>
        <w:tabs>
          <w:tab w:val="left" w:pos="851"/>
        </w:tabs>
        <w:rPr>
          <w:rFonts w:ascii="Open Sans" w:hAnsi="Open Sans" w:cs="Open Sans"/>
          <w:b/>
          <w:bCs/>
          <w:color w:val="000000" w:themeColor="text1"/>
          <w:sz w:val="20"/>
          <w:szCs w:val="20"/>
          <w:u w:val="single"/>
        </w:rPr>
      </w:pPr>
      <w:r w:rsidRPr="00F346C1">
        <w:rPr>
          <w:rFonts w:ascii="Open Sans" w:hAnsi="Open Sans" w:cs="Open Sans"/>
          <w:b/>
          <w:bCs/>
          <w:color w:val="000000" w:themeColor="text1"/>
          <w:sz w:val="20"/>
          <w:szCs w:val="20"/>
          <w:u w:val="single"/>
        </w:rPr>
        <w:lastRenderedPageBreak/>
        <w:t>Top barriers faced in the funding process:</w:t>
      </w:r>
    </w:p>
    <w:p w14:paraId="0E7A6E14" w14:textId="77777777" w:rsidR="00A833DA" w:rsidRPr="00F346C1" w:rsidRDefault="00A833DA" w:rsidP="00A833DA">
      <w:pPr>
        <w:tabs>
          <w:tab w:val="left" w:pos="851"/>
        </w:tabs>
        <w:rPr>
          <w:rFonts w:ascii="Open Sans" w:hAnsi="Open Sans" w:cs="Open Sans"/>
          <w:color w:val="000000" w:themeColor="text1"/>
          <w:sz w:val="20"/>
          <w:szCs w:val="20"/>
        </w:rPr>
      </w:pPr>
    </w:p>
    <w:p w14:paraId="09DD9D35" w14:textId="77777777" w:rsidR="00A833DA" w:rsidRPr="00F346C1" w:rsidRDefault="00A833DA" w:rsidP="00A833DA">
      <w:pPr>
        <w:pStyle w:val="ListParagraph"/>
        <w:numPr>
          <w:ilvl w:val="0"/>
          <w:numId w:val="12"/>
        </w:numPr>
        <w:tabs>
          <w:tab w:val="left" w:pos="851"/>
        </w:tabs>
        <w:ind w:left="0" w:hanging="270"/>
        <w:contextualSpacing/>
        <w:rPr>
          <w:rFonts w:ascii="Open Sans" w:hAnsi="Open Sans" w:cs="Open Sans"/>
          <w:color w:val="000000" w:themeColor="text1"/>
          <w:sz w:val="20"/>
          <w:szCs w:val="20"/>
        </w:rPr>
      </w:pPr>
      <w:r w:rsidRPr="00F346C1">
        <w:rPr>
          <w:rFonts w:ascii="Open Sans" w:hAnsi="Open Sans" w:cs="Open Sans"/>
          <w:b/>
          <w:bCs/>
          <w:color w:val="000000" w:themeColor="text1"/>
          <w:sz w:val="20"/>
          <w:szCs w:val="20"/>
        </w:rPr>
        <w:t>Systemic and outdated structural issues in the process</w:t>
      </w:r>
      <w:r w:rsidRPr="00F346C1">
        <w:rPr>
          <w:rFonts w:ascii="Open Sans" w:hAnsi="Open Sans" w:cs="Open Sans"/>
          <w:color w:val="000000" w:themeColor="text1"/>
          <w:sz w:val="20"/>
          <w:szCs w:val="20"/>
        </w:rPr>
        <w:t xml:space="preserve"> </w:t>
      </w:r>
    </w:p>
    <w:p w14:paraId="15E4A69D" w14:textId="77777777" w:rsidR="00A833DA" w:rsidRPr="00F346C1" w:rsidRDefault="00A833DA" w:rsidP="00A833DA">
      <w:pPr>
        <w:tabs>
          <w:tab w:val="left" w:pos="851"/>
        </w:tabs>
        <w:rPr>
          <w:rFonts w:ascii="Open Sans" w:hAnsi="Open Sans" w:cs="Open Sans"/>
          <w:color w:val="000000" w:themeColor="text1"/>
          <w:sz w:val="20"/>
          <w:szCs w:val="20"/>
        </w:rPr>
      </w:pPr>
      <w:r w:rsidRPr="00F346C1">
        <w:rPr>
          <w:rFonts w:ascii="Open Sans" w:hAnsi="Open Sans" w:cs="Open Sans"/>
          <w:b/>
          <w:bCs/>
          <w:color w:val="000000" w:themeColor="text1"/>
          <w:sz w:val="20"/>
          <w:szCs w:val="20"/>
        </w:rPr>
        <w:t>Problem</w:t>
      </w:r>
      <w:r w:rsidRPr="00F346C1">
        <w:rPr>
          <w:rFonts w:ascii="Open Sans" w:hAnsi="Open Sans" w:cs="Open Sans"/>
          <w:color w:val="000000" w:themeColor="text1"/>
          <w:sz w:val="20"/>
          <w:szCs w:val="20"/>
        </w:rPr>
        <w:t xml:space="preserve">: Funders are limited by their own rules, regulation, requirements and definitions.  </w:t>
      </w:r>
    </w:p>
    <w:p w14:paraId="7FD89CE3" w14:textId="77777777" w:rsidR="00A833DA" w:rsidRPr="00F346C1" w:rsidRDefault="00A833DA" w:rsidP="00A833DA">
      <w:pPr>
        <w:tabs>
          <w:tab w:val="left" w:pos="851"/>
        </w:tabs>
        <w:rPr>
          <w:rFonts w:ascii="Open Sans" w:hAnsi="Open Sans" w:cs="Open Sans"/>
          <w:color w:val="000000" w:themeColor="text1"/>
          <w:sz w:val="20"/>
          <w:szCs w:val="20"/>
        </w:rPr>
      </w:pPr>
      <w:r w:rsidRPr="00F346C1">
        <w:rPr>
          <w:rFonts w:ascii="Open Sans" w:hAnsi="Open Sans" w:cs="Open Sans"/>
          <w:b/>
          <w:bCs/>
          <w:color w:val="000000" w:themeColor="text1"/>
          <w:sz w:val="20"/>
          <w:szCs w:val="20"/>
        </w:rPr>
        <w:t>Solution:</w:t>
      </w:r>
      <w:r w:rsidRPr="00F346C1">
        <w:rPr>
          <w:rFonts w:ascii="Open Sans" w:hAnsi="Open Sans" w:cs="Open Sans"/>
          <w:color w:val="000000" w:themeColor="text1"/>
          <w:sz w:val="20"/>
          <w:szCs w:val="20"/>
        </w:rPr>
        <w:t xml:space="preserve"> Ask questions about the process flow for objectivity and continuous improvement.  </w:t>
      </w:r>
    </w:p>
    <w:p w14:paraId="3407B816" w14:textId="77777777" w:rsidR="00A833DA" w:rsidRPr="00F346C1" w:rsidRDefault="00A833DA" w:rsidP="00A833DA">
      <w:pPr>
        <w:pStyle w:val="ListParagraph"/>
        <w:tabs>
          <w:tab w:val="left" w:pos="851"/>
        </w:tabs>
        <w:ind w:left="0" w:hanging="360"/>
        <w:rPr>
          <w:rFonts w:ascii="Open Sans" w:hAnsi="Open Sans" w:cs="Open Sans"/>
          <w:color w:val="000000" w:themeColor="text1"/>
          <w:sz w:val="20"/>
          <w:szCs w:val="20"/>
        </w:rPr>
      </w:pPr>
    </w:p>
    <w:p w14:paraId="272DF524" w14:textId="77777777" w:rsidR="00A833DA" w:rsidRPr="00F346C1" w:rsidRDefault="00A833DA" w:rsidP="00A833DA">
      <w:pPr>
        <w:pStyle w:val="ListParagraph"/>
        <w:numPr>
          <w:ilvl w:val="0"/>
          <w:numId w:val="12"/>
        </w:numPr>
        <w:tabs>
          <w:tab w:val="left" w:pos="851"/>
        </w:tabs>
        <w:ind w:left="0" w:hanging="270"/>
        <w:contextualSpacing/>
        <w:rPr>
          <w:rFonts w:ascii="Open Sans" w:hAnsi="Open Sans" w:cs="Open Sans"/>
          <w:color w:val="000000" w:themeColor="text1"/>
          <w:sz w:val="20"/>
          <w:szCs w:val="20"/>
        </w:rPr>
      </w:pPr>
      <w:r w:rsidRPr="00F346C1">
        <w:rPr>
          <w:rFonts w:ascii="Open Sans" w:hAnsi="Open Sans" w:cs="Open Sans"/>
          <w:b/>
          <w:bCs/>
          <w:color w:val="000000" w:themeColor="text1"/>
          <w:sz w:val="20"/>
          <w:szCs w:val="20"/>
        </w:rPr>
        <w:t>Reporting requirements</w:t>
      </w:r>
      <w:r w:rsidRPr="00F346C1">
        <w:rPr>
          <w:rFonts w:ascii="Open Sans" w:hAnsi="Open Sans" w:cs="Open Sans"/>
          <w:color w:val="000000" w:themeColor="text1"/>
          <w:sz w:val="20"/>
          <w:szCs w:val="20"/>
        </w:rPr>
        <w:t xml:space="preserve"> </w:t>
      </w:r>
    </w:p>
    <w:p w14:paraId="2922350E" w14:textId="77777777" w:rsidR="00A833DA" w:rsidRPr="00F346C1" w:rsidRDefault="00A833DA" w:rsidP="00A833DA">
      <w:pPr>
        <w:pStyle w:val="ListParagraph"/>
        <w:tabs>
          <w:tab w:val="left" w:pos="851"/>
        </w:tabs>
        <w:ind w:left="0"/>
        <w:rPr>
          <w:rFonts w:ascii="Open Sans" w:hAnsi="Open Sans" w:cs="Open Sans"/>
          <w:color w:val="000000" w:themeColor="text1"/>
          <w:sz w:val="20"/>
          <w:szCs w:val="20"/>
        </w:rPr>
      </w:pPr>
      <w:r w:rsidRPr="00F346C1">
        <w:rPr>
          <w:rFonts w:ascii="Open Sans" w:hAnsi="Open Sans" w:cs="Open Sans"/>
          <w:b/>
          <w:bCs/>
          <w:color w:val="000000" w:themeColor="text1"/>
          <w:sz w:val="20"/>
          <w:szCs w:val="20"/>
        </w:rPr>
        <w:t>Problem</w:t>
      </w:r>
      <w:r w:rsidRPr="00F346C1">
        <w:rPr>
          <w:rFonts w:ascii="Open Sans" w:hAnsi="Open Sans" w:cs="Open Sans"/>
          <w:color w:val="000000" w:themeColor="text1"/>
          <w:sz w:val="20"/>
          <w:szCs w:val="20"/>
        </w:rPr>
        <w:t xml:space="preserve">: The application reporting requirements are not commensurate with the grant size. </w:t>
      </w:r>
    </w:p>
    <w:p w14:paraId="205A1ECC" w14:textId="77777777" w:rsidR="00A833DA" w:rsidRPr="00F346C1" w:rsidRDefault="00A833DA" w:rsidP="00A833DA">
      <w:pPr>
        <w:pStyle w:val="ListParagraph"/>
        <w:tabs>
          <w:tab w:val="left" w:pos="851"/>
        </w:tabs>
        <w:ind w:left="0"/>
        <w:rPr>
          <w:rFonts w:ascii="Open Sans" w:hAnsi="Open Sans" w:cs="Open Sans"/>
          <w:color w:val="000000" w:themeColor="text1"/>
          <w:sz w:val="20"/>
          <w:szCs w:val="20"/>
        </w:rPr>
      </w:pPr>
      <w:r w:rsidRPr="00F346C1">
        <w:rPr>
          <w:rFonts w:ascii="Open Sans" w:hAnsi="Open Sans" w:cs="Open Sans"/>
          <w:b/>
          <w:bCs/>
          <w:color w:val="000000" w:themeColor="text1"/>
          <w:sz w:val="20"/>
          <w:szCs w:val="20"/>
        </w:rPr>
        <w:t xml:space="preserve">Solution: </w:t>
      </w:r>
      <w:r w:rsidRPr="00F346C1">
        <w:rPr>
          <w:rFonts w:ascii="Open Sans" w:hAnsi="Open Sans" w:cs="Open Sans"/>
          <w:color w:val="000000" w:themeColor="text1"/>
          <w:sz w:val="20"/>
          <w:szCs w:val="20"/>
        </w:rPr>
        <w:t xml:space="preserve">Make the administration commensurate with the grant size. For example, a $5,000    grant should come with different reporting expectations than a $500,000 one. </w:t>
      </w:r>
    </w:p>
    <w:p w14:paraId="3C5C413D" w14:textId="77777777" w:rsidR="00A833DA" w:rsidRPr="00F346C1" w:rsidRDefault="00A833DA" w:rsidP="00A833DA">
      <w:pPr>
        <w:pStyle w:val="ListParagraph"/>
        <w:tabs>
          <w:tab w:val="left" w:pos="851"/>
        </w:tabs>
        <w:ind w:left="0"/>
        <w:rPr>
          <w:rFonts w:ascii="Open Sans" w:hAnsi="Open Sans" w:cs="Open Sans"/>
          <w:color w:val="000000" w:themeColor="text1"/>
          <w:sz w:val="20"/>
          <w:szCs w:val="20"/>
        </w:rPr>
      </w:pPr>
    </w:p>
    <w:p w14:paraId="3A3FA5CA" w14:textId="77777777" w:rsidR="00A833DA" w:rsidRPr="00F346C1" w:rsidRDefault="00A833DA" w:rsidP="00A833DA">
      <w:pPr>
        <w:pStyle w:val="ListParagraph"/>
        <w:numPr>
          <w:ilvl w:val="0"/>
          <w:numId w:val="12"/>
        </w:numPr>
        <w:tabs>
          <w:tab w:val="left" w:pos="851"/>
        </w:tabs>
        <w:ind w:left="0" w:hanging="270"/>
        <w:contextualSpacing/>
        <w:rPr>
          <w:rFonts w:ascii="Open Sans" w:hAnsi="Open Sans" w:cs="Open Sans"/>
          <w:color w:val="000000" w:themeColor="text1"/>
          <w:sz w:val="20"/>
          <w:szCs w:val="20"/>
        </w:rPr>
      </w:pPr>
      <w:r w:rsidRPr="00F346C1">
        <w:rPr>
          <w:rFonts w:ascii="Open Sans" w:hAnsi="Open Sans" w:cs="Open Sans"/>
          <w:b/>
          <w:bCs/>
          <w:color w:val="000000" w:themeColor="text1"/>
          <w:sz w:val="20"/>
          <w:szCs w:val="20"/>
        </w:rPr>
        <w:t>No or little experience of the applicant</w:t>
      </w:r>
      <w:r w:rsidRPr="00F346C1">
        <w:rPr>
          <w:rFonts w:ascii="Open Sans" w:hAnsi="Open Sans" w:cs="Open Sans"/>
          <w:color w:val="000000" w:themeColor="text1"/>
          <w:sz w:val="20"/>
          <w:szCs w:val="20"/>
        </w:rPr>
        <w:t xml:space="preserve"> </w:t>
      </w:r>
    </w:p>
    <w:p w14:paraId="36C80E0D" w14:textId="77777777" w:rsidR="00A833DA" w:rsidRPr="00F346C1" w:rsidRDefault="00A833DA" w:rsidP="00A833DA">
      <w:pPr>
        <w:tabs>
          <w:tab w:val="left" w:pos="851"/>
          <w:tab w:val="left" w:pos="1080"/>
        </w:tabs>
        <w:rPr>
          <w:rFonts w:ascii="Open Sans" w:hAnsi="Open Sans" w:cs="Open Sans"/>
          <w:color w:val="000000" w:themeColor="text1"/>
          <w:sz w:val="20"/>
          <w:szCs w:val="20"/>
        </w:rPr>
      </w:pPr>
      <w:r w:rsidRPr="00F346C1">
        <w:rPr>
          <w:rFonts w:ascii="Open Sans" w:hAnsi="Open Sans" w:cs="Open Sans"/>
          <w:b/>
          <w:bCs/>
          <w:color w:val="000000" w:themeColor="text1"/>
          <w:sz w:val="20"/>
          <w:szCs w:val="20"/>
        </w:rPr>
        <w:t>Problem:</w:t>
      </w:r>
      <w:r w:rsidRPr="00F346C1">
        <w:rPr>
          <w:rFonts w:ascii="Open Sans" w:hAnsi="Open Sans" w:cs="Open Sans"/>
          <w:color w:val="000000" w:themeColor="text1"/>
          <w:sz w:val="20"/>
          <w:szCs w:val="20"/>
        </w:rPr>
        <w:t xml:space="preserve"> The “letter of intent” stage that precedes the proposal can be biased.  The applicant may not have the necessary experience or the training to write the proposal in the exact manner the grantor likes.  The project is not awarded - not because the project lacks value, but because the applicant lacks know-how.</w:t>
      </w:r>
    </w:p>
    <w:p w14:paraId="33CFD021" w14:textId="77777777" w:rsidR="00A833DA" w:rsidRPr="00F346C1" w:rsidRDefault="00A833DA" w:rsidP="00A833DA">
      <w:pPr>
        <w:tabs>
          <w:tab w:val="left" w:pos="851"/>
          <w:tab w:val="left" w:pos="1080"/>
        </w:tabs>
        <w:rPr>
          <w:rFonts w:ascii="Open Sans" w:hAnsi="Open Sans" w:cs="Open Sans"/>
          <w:color w:val="000000" w:themeColor="text1"/>
          <w:sz w:val="20"/>
          <w:szCs w:val="20"/>
        </w:rPr>
      </w:pPr>
      <w:r w:rsidRPr="00F346C1">
        <w:rPr>
          <w:rFonts w:ascii="Open Sans" w:hAnsi="Open Sans" w:cs="Open Sans"/>
          <w:b/>
          <w:bCs/>
          <w:color w:val="000000" w:themeColor="text1"/>
          <w:sz w:val="20"/>
          <w:szCs w:val="20"/>
        </w:rPr>
        <w:t xml:space="preserve">Solution: </w:t>
      </w:r>
      <w:r w:rsidRPr="00F346C1">
        <w:rPr>
          <w:rFonts w:ascii="Open Sans" w:hAnsi="Open Sans" w:cs="Open Sans"/>
          <w:color w:val="000000" w:themeColor="text1"/>
          <w:sz w:val="20"/>
          <w:szCs w:val="20"/>
        </w:rPr>
        <w:t xml:space="preserve">Consider additional process to capture information about the project before and during the application process such as, Q&amp;A conference calls, site visits, narrative examples, etc. </w:t>
      </w:r>
    </w:p>
    <w:p w14:paraId="46705FCC" w14:textId="77777777" w:rsidR="00A833DA" w:rsidRPr="00F346C1" w:rsidRDefault="00A833DA" w:rsidP="00A833DA">
      <w:pPr>
        <w:tabs>
          <w:tab w:val="left" w:pos="851"/>
        </w:tabs>
        <w:rPr>
          <w:rFonts w:ascii="Open Sans" w:hAnsi="Open Sans" w:cs="Open Sans"/>
          <w:color w:val="000000" w:themeColor="text1"/>
          <w:sz w:val="20"/>
          <w:szCs w:val="20"/>
        </w:rPr>
      </w:pPr>
    </w:p>
    <w:p w14:paraId="6017FED5" w14:textId="77777777" w:rsidR="00A833DA" w:rsidRPr="00F346C1" w:rsidRDefault="00A833DA" w:rsidP="00A833DA">
      <w:pPr>
        <w:pStyle w:val="ListParagraph"/>
        <w:numPr>
          <w:ilvl w:val="0"/>
          <w:numId w:val="12"/>
        </w:numPr>
        <w:tabs>
          <w:tab w:val="left" w:pos="851"/>
        </w:tabs>
        <w:ind w:left="0" w:hanging="270"/>
        <w:contextualSpacing/>
        <w:rPr>
          <w:rFonts w:ascii="Open Sans" w:hAnsi="Open Sans" w:cs="Open Sans"/>
          <w:color w:val="000000" w:themeColor="text1"/>
          <w:sz w:val="20"/>
          <w:szCs w:val="20"/>
        </w:rPr>
      </w:pPr>
      <w:r w:rsidRPr="00F346C1">
        <w:rPr>
          <w:rFonts w:ascii="Open Sans" w:hAnsi="Open Sans" w:cs="Open Sans"/>
          <w:b/>
          <w:bCs/>
          <w:color w:val="000000" w:themeColor="text1"/>
          <w:sz w:val="20"/>
          <w:szCs w:val="20"/>
        </w:rPr>
        <w:t xml:space="preserve">The usual suspects </w:t>
      </w:r>
    </w:p>
    <w:p w14:paraId="13981689" w14:textId="77777777" w:rsidR="00A833DA" w:rsidRPr="00F346C1" w:rsidRDefault="00A833DA" w:rsidP="00A833DA">
      <w:pPr>
        <w:tabs>
          <w:tab w:val="left" w:pos="851"/>
          <w:tab w:val="left" w:pos="1080"/>
        </w:tabs>
        <w:rPr>
          <w:rFonts w:ascii="Open Sans" w:hAnsi="Open Sans" w:cs="Open Sans"/>
          <w:color w:val="000000" w:themeColor="text1"/>
          <w:sz w:val="20"/>
          <w:szCs w:val="20"/>
        </w:rPr>
      </w:pPr>
      <w:r w:rsidRPr="00F346C1">
        <w:rPr>
          <w:rFonts w:ascii="Open Sans" w:hAnsi="Open Sans" w:cs="Open Sans"/>
          <w:b/>
          <w:bCs/>
          <w:color w:val="000000" w:themeColor="text1"/>
          <w:sz w:val="20"/>
          <w:szCs w:val="20"/>
        </w:rPr>
        <w:t xml:space="preserve">Problem:  </w:t>
      </w:r>
      <w:r w:rsidRPr="00F346C1">
        <w:rPr>
          <w:rFonts w:ascii="Open Sans" w:hAnsi="Open Sans" w:cs="Open Sans"/>
          <w:color w:val="000000" w:themeColor="text1"/>
          <w:sz w:val="20"/>
          <w:szCs w:val="20"/>
        </w:rPr>
        <w:t>Funders seek to validate grantees using trusted sources or rating systems. If those trusted organizations are demographically similar, racially similar, and from an ethnicity point of view also very similar, they are the same networks.</w:t>
      </w:r>
    </w:p>
    <w:p w14:paraId="4CA5417D" w14:textId="77777777" w:rsidR="00A833DA" w:rsidRPr="00F346C1" w:rsidRDefault="00A833DA" w:rsidP="00A833DA">
      <w:pPr>
        <w:tabs>
          <w:tab w:val="left" w:pos="851"/>
          <w:tab w:val="left" w:pos="1080"/>
        </w:tabs>
        <w:rPr>
          <w:rFonts w:ascii="Open Sans" w:hAnsi="Open Sans" w:cs="Open Sans"/>
          <w:color w:val="000000" w:themeColor="text1"/>
          <w:sz w:val="20"/>
          <w:szCs w:val="20"/>
        </w:rPr>
      </w:pPr>
      <w:r w:rsidRPr="00F346C1">
        <w:rPr>
          <w:rFonts w:ascii="Open Sans" w:hAnsi="Open Sans" w:cs="Open Sans"/>
          <w:b/>
          <w:bCs/>
          <w:color w:val="000000" w:themeColor="text1"/>
          <w:sz w:val="20"/>
          <w:szCs w:val="20"/>
        </w:rPr>
        <w:t>Solutions</w:t>
      </w:r>
      <w:r w:rsidRPr="00F346C1">
        <w:rPr>
          <w:rFonts w:ascii="Open Sans" w:hAnsi="Open Sans" w:cs="Open Sans"/>
          <w:color w:val="000000" w:themeColor="text1"/>
          <w:sz w:val="20"/>
          <w:szCs w:val="20"/>
        </w:rPr>
        <w:t>:  Expand the networks from which you seek applicants. Find new ways to target organizations who may not be aware of your application.  Diversify your portfolio.</w:t>
      </w:r>
    </w:p>
    <w:p w14:paraId="7ACE2954" w14:textId="77777777" w:rsidR="00A833DA" w:rsidRPr="00F346C1" w:rsidRDefault="00A833DA" w:rsidP="00A833DA">
      <w:pPr>
        <w:tabs>
          <w:tab w:val="left" w:pos="851"/>
          <w:tab w:val="left" w:pos="1080"/>
        </w:tabs>
        <w:rPr>
          <w:rFonts w:ascii="Open Sans" w:hAnsi="Open Sans" w:cs="Open Sans"/>
          <w:b/>
          <w:bCs/>
          <w:color w:val="000000" w:themeColor="text1"/>
          <w:sz w:val="20"/>
          <w:szCs w:val="20"/>
        </w:rPr>
      </w:pPr>
      <w:r w:rsidRPr="00F346C1">
        <w:rPr>
          <w:rFonts w:ascii="Open Sans" w:hAnsi="Open Sans" w:cs="Open Sans"/>
          <w:b/>
          <w:bCs/>
          <w:color w:val="000000" w:themeColor="text1"/>
          <w:sz w:val="20"/>
          <w:szCs w:val="20"/>
        </w:rPr>
        <w:t xml:space="preserve"> </w:t>
      </w:r>
    </w:p>
    <w:p w14:paraId="52148250" w14:textId="77777777" w:rsidR="00A833DA" w:rsidRPr="00F346C1" w:rsidRDefault="00A833DA" w:rsidP="00A833DA">
      <w:pPr>
        <w:pStyle w:val="ListParagraph"/>
        <w:numPr>
          <w:ilvl w:val="0"/>
          <w:numId w:val="12"/>
        </w:numPr>
        <w:tabs>
          <w:tab w:val="left" w:pos="851"/>
          <w:tab w:val="left" w:pos="1080"/>
        </w:tabs>
        <w:ind w:left="0" w:hanging="270"/>
        <w:contextualSpacing/>
        <w:rPr>
          <w:rFonts w:ascii="Open Sans" w:hAnsi="Open Sans" w:cs="Open Sans"/>
          <w:b/>
          <w:bCs/>
          <w:color w:val="000000" w:themeColor="text1"/>
          <w:sz w:val="20"/>
          <w:szCs w:val="20"/>
        </w:rPr>
      </w:pPr>
      <w:r w:rsidRPr="00F346C1">
        <w:rPr>
          <w:rFonts w:ascii="Open Sans" w:hAnsi="Open Sans" w:cs="Open Sans"/>
          <w:b/>
          <w:bCs/>
          <w:color w:val="000000" w:themeColor="text1"/>
          <w:sz w:val="20"/>
          <w:szCs w:val="20"/>
        </w:rPr>
        <w:t>Talent pipeline</w:t>
      </w:r>
    </w:p>
    <w:p w14:paraId="77D80835" w14:textId="77777777" w:rsidR="00A833DA" w:rsidRPr="00F346C1" w:rsidRDefault="00A833DA" w:rsidP="00A833DA">
      <w:pPr>
        <w:tabs>
          <w:tab w:val="left" w:pos="810"/>
          <w:tab w:val="left" w:pos="1080"/>
        </w:tabs>
        <w:ind w:hanging="180"/>
        <w:rPr>
          <w:rFonts w:ascii="Open Sans" w:hAnsi="Open Sans" w:cs="Open Sans"/>
          <w:color w:val="000000" w:themeColor="text1"/>
          <w:sz w:val="20"/>
          <w:szCs w:val="20"/>
        </w:rPr>
      </w:pPr>
      <w:r w:rsidRPr="00F346C1">
        <w:rPr>
          <w:rFonts w:ascii="Open Sans" w:hAnsi="Open Sans" w:cs="Open Sans"/>
          <w:b/>
          <w:bCs/>
          <w:color w:val="000000" w:themeColor="text1"/>
          <w:sz w:val="20"/>
          <w:szCs w:val="20"/>
        </w:rPr>
        <w:tab/>
        <w:t>Problem:</w:t>
      </w:r>
      <w:r w:rsidRPr="00F346C1">
        <w:rPr>
          <w:rFonts w:ascii="Open Sans" w:hAnsi="Open Sans" w:cs="Open Sans"/>
          <w:color w:val="000000" w:themeColor="text1"/>
          <w:sz w:val="20"/>
          <w:szCs w:val="20"/>
        </w:rPr>
        <w:t xml:space="preserve"> The proportion of philanthropic positions held by underrepresented groups remains low</w:t>
      </w:r>
    </w:p>
    <w:p w14:paraId="35BFCE98" w14:textId="4D1CBDF4" w:rsidR="00A833DA" w:rsidRPr="00F346C1" w:rsidRDefault="00A833DA" w:rsidP="00A833DA">
      <w:pPr>
        <w:tabs>
          <w:tab w:val="left" w:pos="1080"/>
        </w:tabs>
        <w:rPr>
          <w:rFonts w:ascii="Open Sans" w:hAnsi="Open Sans" w:cs="Open Sans"/>
          <w:color w:val="000000" w:themeColor="text1"/>
          <w:sz w:val="20"/>
          <w:szCs w:val="20"/>
        </w:rPr>
      </w:pPr>
      <w:r w:rsidRPr="00F346C1">
        <w:rPr>
          <w:rFonts w:ascii="Open Sans" w:hAnsi="Open Sans" w:cs="Open Sans"/>
          <w:b/>
          <w:bCs/>
          <w:color w:val="000000" w:themeColor="text1"/>
          <w:sz w:val="20"/>
          <w:szCs w:val="20"/>
        </w:rPr>
        <w:t xml:space="preserve">Solution: </w:t>
      </w:r>
      <w:r w:rsidRPr="00F346C1">
        <w:rPr>
          <w:rFonts w:ascii="Open Sans" w:hAnsi="Open Sans" w:cs="Open Sans"/>
          <w:color w:val="000000" w:themeColor="text1"/>
          <w:sz w:val="20"/>
          <w:szCs w:val="20"/>
        </w:rPr>
        <w:t>Establish a community advisory board</w:t>
      </w:r>
      <w:r w:rsidRPr="00F346C1">
        <w:rPr>
          <w:rFonts w:ascii="Open Sans" w:hAnsi="Open Sans" w:cs="Open Sans"/>
          <w:b/>
          <w:bCs/>
          <w:color w:val="000000" w:themeColor="text1"/>
          <w:sz w:val="20"/>
          <w:szCs w:val="20"/>
        </w:rPr>
        <w:t xml:space="preserve"> </w:t>
      </w:r>
      <w:r w:rsidRPr="00F346C1">
        <w:rPr>
          <w:rFonts w:ascii="Open Sans" w:hAnsi="Open Sans" w:cs="Open Sans"/>
          <w:color w:val="000000" w:themeColor="text1"/>
          <w:sz w:val="20"/>
          <w:szCs w:val="20"/>
        </w:rPr>
        <w:t>to address the built-in lack of voice for marginalized communities that can result in an understanding gap around important social problems that affect those communities.</w:t>
      </w:r>
    </w:p>
    <w:p w14:paraId="62B0070A" w14:textId="0EA14E07" w:rsidR="00A833DA" w:rsidRPr="00F346C1" w:rsidRDefault="00F346C1" w:rsidP="00A833DA">
      <w:pPr>
        <w:tabs>
          <w:tab w:val="left" w:pos="1080"/>
        </w:tabs>
        <w:rPr>
          <w:rFonts w:ascii="Open Sans" w:hAnsi="Open Sans" w:cs="Open Sans"/>
          <w:color w:val="000000" w:themeColor="text1"/>
          <w:sz w:val="20"/>
          <w:szCs w:val="20"/>
        </w:rPr>
      </w:pPr>
      <w:r w:rsidRPr="00F346C1">
        <w:rPr>
          <w:rFonts w:ascii="Open Sans" w:hAnsi="Open Sans" w:cs="Open Sans"/>
          <w:b/>
          <w:bCs/>
          <w:noProof/>
          <w:color w:val="000000" w:themeColor="text1"/>
          <w:sz w:val="20"/>
          <w:szCs w:val="20"/>
        </w:rPr>
        <mc:AlternateContent>
          <mc:Choice Requires="wps">
            <w:drawing>
              <wp:anchor distT="0" distB="0" distL="114300" distR="114300" simplePos="0" relativeHeight="251664384" behindDoc="0" locked="0" layoutInCell="1" allowOverlap="1" wp14:anchorId="102FF26E" wp14:editId="6E9AA38D">
                <wp:simplePos x="0" y="0"/>
                <wp:positionH relativeFrom="column">
                  <wp:posOffset>381000</wp:posOffset>
                </wp:positionH>
                <wp:positionV relativeFrom="paragraph">
                  <wp:posOffset>172720</wp:posOffset>
                </wp:positionV>
                <wp:extent cx="5219700" cy="1354217"/>
                <wp:effectExtent l="0" t="0" r="0" b="0"/>
                <wp:wrapNone/>
                <wp:docPr id="3" name="Rectangle 2">
                  <a:extLst xmlns:a="http://schemas.openxmlformats.org/drawingml/2006/main">
                    <a:ext uri="{FF2B5EF4-FFF2-40B4-BE49-F238E27FC236}">
                      <a16:creationId xmlns:a16="http://schemas.microsoft.com/office/drawing/2014/main" id="{B5880941-FC1D-D646-809A-67992243FA45}"/>
                    </a:ext>
                  </a:extLst>
                </wp:docPr>
                <wp:cNvGraphicFramePr/>
                <a:graphic xmlns:a="http://schemas.openxmlformats.org/drawingml/2006/main">
                  <a:graphicData uri="http://schemas.microsoft.com/office/word/2010/wordprocessingShape">
                    <wps:wsp>
                      <wps:cNvSpPr/>
                      <wps:spPr>
                        <a:xfrm>
                          <a:off x="0" y="0"/>
                          <a:ext cx="5219700" cy="1354217"/>
                        </a:xfrm>
                        <a:prstGeom prst="rect">
                          <a:avLst/>
                        </a:prstGeom>
                      </wps:spPr>
                      <wps:txbx>
                        <w:txbxContent>
                          <w:p w14:paraId="01BAB359" w14:textId="77777777" w:rsidR="008F05BB" w:rsidRPr="0017359A" w:rsidRDefault="008F05BB" w:rsidP="00A833DA">
                            <w:pPr>
                              <w:jc w:val="center"/>
                              <w:rPr>
                                <w:sz w:val="15"/>
                                <w:szCs w:val="15"/>
                              </w:rPr>
                            </w:pPr>
                            <w:r w:rsidRPr="0017359A">
                              <w:rPr>
                                <w:rFonts w:ascii="adelle-sans" w:hAnsi="adelle-sans"/>
                                <w:color w:val="262626" w:themeColor="text1" w:themeTint="D9"/>
                                <w:kern w:val="24"/>
                                <w:sz w:val="15"/>
                                <w:szCs w:val="15"/>
                              </w:rPr>
                              <w:t>“If you don’t understand the barriers, both historic and current,</w:t>
                            </w:r>
                            <w:r w:rsidRPr="0017359A">
                              <w:rPr>
                                <w:sz w:val="15"/>
                                <w:szCs w:val="15"/>
                              </w:rPr>
                              <w:t xml:space="preserve"> </w:t>
                            </w:r>
                            <w:r w:rsidRPr="0017359A">
                              <w:rPr>
                                <w:rFonts w:ascii="adelle-sans" w:hAnsi="adelle-sans"/>
                                <w:color w:val="262626" w:themeColor="text1" w:themeTint="D9"/>
                                <w:kern w:val="24"/>
                                <w:sz w:val="15"/>
                                <w:szCs w:val="15"/>
                              </w:rPr>
                              <w:t xml:space="preserve">a neighborhood faces on a daily basis, </w:t>
                            </w:r>
                            <w:r w:rsidRPr="0017359A">
                              <w:rPr>
                                <w:sz w:val="15"/>
                                <w:szCs w:val="15"/>
                              </w:rPr>
                              <w:t xml:space="preserve"> </w:t>
                            </w:r>
                          </w:p>
                          <w:p w14:paraId="727F0BDC" w14:textId="77777777" w:rsidR="008F05BB" w:rsidRPr="0017359A" w:rsidRDefault="008F05BB" w:rsidP="00A833DA">
                            <w:pPr>
                              <w:jc w:val="center"/>
                              <w:rPr>
                                <w:sz w:val="15"/>
                                <w:szCs w:val="15"/>
                              </w:rPr>
                            </w:pPr>
                            <w:r w:rsidRPr="0017359A">
                              <w:rPr>
                                <w:rFonts w:ascii="adelle-sans" w:hAnsi="adelle-sans"/>
                                <w:color w:val="262626" w:themeColor="text1" w:themeTint="D9"/>
                                <w:kern w:val="24"/>
                                <w:sz w:val="15"/>
                                <w:szCs w:val="15"/>
                              </w:rPr>
                              <w:t xml:space="preserve">it’s difficult to serve those neighborhoods effectively,” </w:t>
                            </w:r>
                          </w:p>
                          <w:p w14:paraId="0EF6EF6A" w14:textId="77777777" w:rsidR="008F05BB" w:rsidRPr="0017359A" w:rsidRDefault="008F05BB" w:rsidP="00A833DA">
                            <w:pPr>
                              <w:jc w:val="center"/>
                              <w:rPr>
                                <w:sz w:val="15"/>
                                <w:szCs w:val="15"/>
                              </w:rPr>
                            </w:pPr>
                            <w:r w:rsidRPr="0017359A">
                              <w:rPr>
                                <w:rFonts w:ascii="adelle-sans" w:hAnsi="adelle-sans"/>
                                <w:color w:val="262626" w:themeColor="text1" w:themeTint="D9"/>
                                <w:kern w:val="24"/>
                                <w:sz w:val="15"/>
                                <w:szCs w:val="15"/>
                              </w:rPr>
                              <w:t>Sidney Hargro, President, Philanthropy Network Greater Philadelphia</w:t>
                            </w:r>
                          </w:p>
                        </w:txbxContent>
                      </wps:txbx>
                      <wps:bodyPr wrap="square">
                        <a:spAutoFit/>
                      </wps:bodyPr>
                    </wps:wsp>
                  </a:graphicData>
                </a:graphic>
                <wp14:sizeRelH relativeFrom="margin">
                  <wp14:pctWidth>0</wp14:pctWidth>
                </wp14:sizeRelH>
              </wp:anchor>
            </w:drawing>
          </mc:Choice>
          <mc:Fallback>
            <w:pict>
              <v:rect w14:anchorId="102FF26E" id="Rectangle 2" o:spid="_x0000_s1026" style="position:absolute;margin-left:30pt;margin-top:13.6pt;width:411pt;height:106.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" filled="f" stroked="f">
                <v:textbox style="mso-fit-shape-to-text:t">
                  <w:txbxContent>
                    <w:p w14:paraId="01BAB359" w14:textId="77777777" w:rsidR="008F05BB" w:rsidRPr="0017359A" w:rsidRDefault="008F05BB" w:rsidP="00A833DA">
                      <w:pPr>
                        <w:jc w:val="center"/>
                        <w:rPr>
                          <w:sz w:val="15"/>
                          <w:szCs w:val="15"/>
                        </w:rPr>
                      </w:pPr>
                      <w:r w:rsidRPr="0017359A">
                        <w:rPr>
                          <w:rFonts w:ascii="adelle-sans" w:hAnsi="adelle-sans"/>
                          <w:color w:val="262626" w:themeColor="text1" w:themeTint="D9"/>
                          <w:kern w:val="24"/>
                          <w:sz w:val="15"/>
                          <w:szCs w:val="15"/>
                        </w:rPr>
                        <w:t>“If you don’t understand the barriers, both historic and current,</w:t>
                      </w:r>
                      <w:r w:rsidRPr="0017359A">
                        <w:rPr>
                          <w:sz w:val="15"/>
                          <w:szCs w:val="15"/>
                        </w:rPr>
                        <w:t xml:space="preserve"> </w:t>
                      </w:r>
                      <w:r w:rsidRPr="0017359A">
                        <w:rPr>
                          <w:rFonts w:ascii="adelle-sans" w:hAnsi="adelle-sans"/>
                          <w:color w:val="262626" w:themeColor="text1" w:themeTint="D9"/>
                          <w:kern w:val="24"/>
                          <w:sz w:val="15"/>
                          <w:szCs w:val="15"/>
                        </w:rPr>
                        <w:t xml:space="preserve">a neighborhood faces </w:t>
                      </w:r>
                      <w:proofErr w:type="gramStart"/>
                      <w:r w:rsidRPr="0017359A">
                        <w:rPr>
                          <w:rFonts w:ascii="adelle-sans" w:hAnsi="adelle-sans"/>
                          <w:color w:val="262626" w:themeColor="text1" w:themeTint="D9"/>
                          <w:kern w:val="24"/>
                          <w:sz w:val="15"/>
                          <w:szCs w:val="15"/>
                        </w:rPr>
                        <w:t>on a daily basis</w:t>
                      </w:r>
                      <w:proofErr w:type="gramEnd"/>
                      <w:r w:rsidRPr="0017359A">
                        <w:rPr>
                          <w:rFonts w:ascii="adelle-sans" w:hAnsi="adelle-sans"/>
                          <w:color w:val="262626" w:themeColor="text1" w:themeTint="D9"/>
                          <w:kern w:val="24"/>
                          <w:sz w:val="15"/>
                          <w:szCs w:val="15"/>
                        </w:rPr>
                        <w:t xml:space="preserve">, </w:t>
                      </w:r>
                      <w:r w:rsidRPr="0017359A">
                        <w:rPr>
                          <w:sz w:val="15"/>
                          <w:szCs w:val="15"/>
                        </w:rPr>
                        <w:t xml:space="preserve"> </w:t>
                      </w:r>
                    </w:p>
                    <w:p w14:paraId="727F0BDC" w14:textId="77777777" w:rsidR="008F05BB" w:rsidRPr="0017359A" w:rsidRDefault="008F05BB" w:rsidP="00A833DA">
                      <w:pPr>
                        <w:jc w:val="center"/>
                        <w:rPr>
                          <w:sz w:val="15"/>
                          <w:szCs w:val="15"/>
                        </w:rPr>
                      </w:pPr>
                      <w:r w:rsidRPr="0017359A">
                        <w:rPr>
                          <w:rFonts w:ascii="adelle-sans" w:hAnsi="adelle-sans"/>
                          <w:color w:val="262626" w:themeColor="text1" w:themeTint="D9"/>
                          <w:kern w:val="24"/>
                          <w:sz w:val="15"/>
                          <w:szCs w:val="15"/>
                        </w:rPr>
                        <w:t xml:space="preserve">it’s difficult to serve those neighborhoods effectively,” </w:t>
                      </w:r>
                    </w:p>
                    <w:p w14:paraId="0EF6EF6A" w14:textId="77777777" w:rsidR="008F05BB" w:rsidRPr="0017359A" w:rsidRDefault="008F05BB" w:rsidP="00A833DA">
                      <w:pPr>
                        <w:jc w:val="center"/>
                        <w:rPr>
                          <w:sz w:val="15"/>
                          <w:szCs w:val="15"/>
                        </w:rPr>
                      </w:pPr>
                      <w:r w:rsidRPr="0017359A">
                        <w:rPr>
                          <w:rFonts w:ascii="adelle-sans" w:hAnsi="adelle-sans"/>
                          <w:color w:val="262626" w:themeColor="text1" w:themeTint="D9"/>
                          <w:kern w:val="24"/>
                          <w:sz w:val="15"/>
                          <w:szCs w:val="15"/>
                        </w:rPr>
                        <w:t>Sidney Hargro, President, Philanthropy Network Greater Philadelphia</w:t>
                      </w:r>
                    </w:p>
                  </w:txbxContent>
                </v:textbox>
              </v:rect>
            </w:pict>
          </mc:Fallback>
        </mc:AlternateContent>
      </w:r>
    </w:p>
    <w:p w14:paraId="3E91FD99" w14:textId="26470BED" w:rsidR="00A833DA" w:rsidRPr="00F346C1" w:rsidRDefault="00A833DA" w:rsidP="00A833DA">
      <w:pPr>
        <w:tabs>
          <w:tab w:val="left" w:pos="1080"/>
        </w:tabs>
        <w:rPr>
          <w:rFonts w:ascii="Open Sans" w:hAnsi="Open Sans" w:cs="Open Sans"/>
          <w:color w:val="000000" w:themeColor="text1"/>
          <w:sz w:val="20"/>
          <w:szCs w:val="20"/>
        </w:rPr>
      </w:pPr>
    </w:p>
    <w:p w14:paraId="226BF685" w14:textId="77777777" w:rsidR="00A833DA" w:rsidRPr="00F346C1" w:rsidRDefault="00A833DA" w:rsidP="002C3E35">
      <w:pPr>
        <w:tabs>
          <w:tab w:val="left" w:pos="851"/>
        </w:tabs>
        <w:rPr>
          <w:rFonts w:ascii="Open Sans" w:hAnsi="Open Sans" w:cs="Open Sans"/>
          <w:color w:val="000000" w:themeColor="text1"/>
          <w:sz w:val="20"/>
          <w:szCs w:val="20"/>
        </w:rPr>
      </w:pPr>
    </w:p>
    <w:p w14:paraId="5C20CF65" w14:textId="77777777" w:rsidR="00A833DA" w:rsidRPr="00F346C1" w:rsidRDefault="00A833DA" w:rsidP="002C3E35">
      <w:pPr>
        <w:tabs>
          <w:tab w:val="left" w:pos="851"/>
        </w:tabs>
        <w:rPr>
          <w:rFonts w:ascii="Open Sans" w:hAnsi="Open Sans" w:cs="Open Sans"/>
          <w:b/>
          <w:bCs/>
          <w:color w:val="000000" w:themeColor="text1"/>
          <w:sz w:val="20"/>
          <w:szCs w:val="20"/>
          <w:u w:val="single"/>
        </w:rPr>
      </w:pPr>
    </w:p>
    <w:p w14:paraId="1B718445" w14:textId="77777777" w:rsidR="00A833DA" w:rsidRPr="00F346C1" w:rsidRDefault="00A833DA" w:rsidP="002C3E35">
      <w:pPr>
        <w:tabs>
          <w:tab w:val="left" w:pos="851"/>
        </w:tabs>
        <w:rPr>
          <w:rFonts w:ascii="Open Sans" w:hAnsi="Open Sans" w:cs="Open Sans"/>
          <w:b/>
          <w:bCs/>
          <w:color w:val="000000" w:themeColor="text1"/>
          <w:sz w:val="20"/>
          <w:szCs w:val="20"/>
          <w:u w:val="single"/>
        </w:rPr>
      </w:pPr>
    </w:p>
    <w:p w14:paraId="54C62004" w14:textId="71C13094" w:rsidR="002C3E35" w:rsidRPr="00F346C1" w:rsidRDefault="00A833DA" w:rsidP="002C3E35">
      <w:pPr>
        <w:tabs>
          <w:tab w:val="left" w:pos="851"/>
        </w:tabs>
        <w:rPr>
          <w:rFonts w:ascii="Open Sans" w:hAnsi="Open Sans" w:cs="Open Sans"/>
          <w:b/>
          <w:bCs/>
          <w:color w:val="000000" w:themeColor="text1"/>
          <w:sz w:val="20"/>
          <w:szCs w:val="20"/>
          <w:u w:val="single"/>
        </w:rPr>
      </w:pPr>
      <w:r w:rsidRPr="00F346C1">
        <w:rPr>
          <w:rFonts w:ascii="Open Sans" w:hAnsi="Open Sans" w:cs="Open Sans"/>
          <w:b/>
          <w:bCs/>
          <w:color w:val="000000" w:themeColor="text1"/>
          <w:sz w:val="20"/>
          <w:szCs w:val="20"/>
          <w:u w:val="single"/>
        </w:rPr>
        <w:t>Highlights from Guest Speakers:</w:t>
      </w:r>
    </w:p>
    <w:p w14:paraId="40C7BED7" w14:textId="77777777" w:rsidR="00A833DA" w:rsidRPr="00F346C1" w:rsidRDefault="00A833DA" w:rsidP="002C3E35">
      <w:pPr>
        <w:rPr>
          <w:rFonts w:ascii="Open Sans" w:hAnsi="Open Sans" w:cs="Open Sans"/>
          <w:b/>
          <w:color w:val="000000"/>
          <w:sz w:val="20"/>
          <w:szCs w:val="20"/>
          <w:shd w:val="clear" w:color="auto" w:fill="FFFFFF"/>
        </w:rPr>
      </w:pPr>
    </w:p>
    <w:p w14:paraId="0B7215DB" w14:textId="3169BEC1" w:rsidR="002C3E35" w:rsidRPr="00F346C1" w:rsidRDefault="002C3E35" w:rsidP="002C3E35">
      <w:pPr>
        <w:rPr>
          <w:rFonts w:ascii="Open Sans" w:hAnsi="Open Sans" w:cs="Open Sans"/>
          <w:b/>
          <w:color w:val="000000"/>
          <w:sz w:val="20"/>
          <w:szCs w:val="20"/>
        </w:rPr>
      </w:pPr>
      <w:r w:rsidRPr="00F346C1">
        <w:rPr>
          <w:rFonts w:ascii="Open Sans" w:hAnsi="Open Sans" w:cs="Open Sans"/>
          <w:b/>
          <w:color w:val="000000"/>
          <w:sz w:val="20"/>
          <w:szCs w:val="20"/>
          <w:shd w:val="clear" w:color="auto" w:fill="FFFFFF"/>
        </w:rPr>
        <w:t>Guest Speaker #1: Trella Walker, Associate Director- Advisory Services, Nonprofit Finance Fund</w:t>
      </w:r>
    </w:p>
    <w:p w14:paraId="32BD2044" w14:textId="7B178ADB" w:rsidR="002C3E35" w:rsidRPr="00F346C1" w:rsidRDefault="002C3E35" w:rsidP="00A833DA">
      <w:pPr>
        <w:pStyle w:val="ListParagraph"/>
        <w:numPr>
          <w:ilvl w:val="0"/>
          <w:numId w:val="16"/>
        </w:numPr>
        <w:rPr>
          <w:rFonts w:ascii="Open Sans" w:hAnsi="Open Sans" w:cs="Open Sans"/>
          <w:bCs/>
          <w:color w:val="000000"/>
          <w:sz w:val="20"/>
          <w:szCs w:val="20"/>
        </w:rPr>
      </w:pPr>
      <w:r w:rsidRPr="00F346C1">
        <w:rPr>
          <w:rFonts w:ascii="Open Sans" w:hAnsi="Open Sans" w:cs="Open Sans"/>
          <w:bCs/>
          <w:color w:val="000000"/>
          <w:sz w:val="20"/>
          <w:szCs w:val="20"/>
        </w:rPr>
        <w:t xml:space="preserve">NFF Toolkit: </w:t>
      </w:r>
      <w:hyperlink r:id="rId10" w:history="1">
        <w:r w:rsidRPr="00F346C1">
          <w:rPr>
            <w:rStyle w:val="Hyperlink"/>
            <w:rFonts w:ascii="Open Sans" w:hAnsi="Open Sans" w:cs="Open Sans"/>
            <w:bCs/>
            <w:i/>
            <w:iCs/>
            <w:sz w:val="20"/>
            <w:szCs w:val="20"/>
          </w:rPr>
          <w:t>Addressing Racially Biased Financial Analysis</w:t>
        </w:r>
      </w:hyperlink>
      <w:r w:rsidRPr="00F346C1">
        <w:rPr>
          <w:rFonts w:ascii="Open Sans" w:hAnsi="Open Sans" w:cs="Open Sans"/>
          <w:bCs/>
          <w:i/>
          <w:iCs/>
          <w:color w:val="000000"/>
          <w:sz w:val="20"/>
          <w:szCs w:val="20"/>
        </w:rPr>
        <w:t xml:space="preserve"> </w:t>
      </w:r>
    </w:p>
    <w:p w14:paraId="1C8BA2E7" w14:textId="77777777" w:rsidR="002C3E35" w:rsidRPr="00F346C1" w:rsidRDefault="002C3E35" w:rsidP="00A833DA">
      <w:pPr>
        <w:pStyle w:val="ListParagraph"/>
        <w:numPr>
          <w:ilvl w:val="0"/>
          <w:numId w:val="16"/>
        </w:numPr>
        <w:rPr>
          <w:rFonts w:ascii="Open Sans" w:hAnsi="Open Sans" w:cs="Open Sans"/>
          <w:bCs/>
          <w:color w:val="000000"/>
          <w:sz w:val="20"/>
          <w:szCs w:val="20"/>
        </w:rPr>
      </w:pPr>
      <w:r w:rsidRPr="00F346C1">
        <w:rPr>
          <w:rFonts w:ascii="Open Sans" w:hAnsi="Open Sans" w:cs="Open Sans"/>
          <w:bCs/>
          <w:color w:val="000000"/>
          <w:sz w:val="20"/>
          <w:szCs w:val="20"/>
        </w:rPr>
        <w:t xml:space="preserve">List of 7 Steps: </w:t>
      </w:r>
      <w:hyperlink r:id="rId11" w:history="1">
        <w:r w:rsidRPr="00F346C1">
          <w:rPr>
            <w:rStyle w:val="Hyperlink"/>
            <w:rFonts w:ascii="Open Sans" w:hAnsi="Open Sans" w:cs="Open Sans"/>
            <w:bCs/>
            <w:i/>
            <w:iCs/>
            <w:sz w:val="20"/>
            <w:szCs w:val="20"/>
          </w:rPr>
          <w:t>What can funders do to champion funding equity and inclusion in their grantmaking?</w:t>
        </w:r>
      </w:hyperlink>
    </w:p>
    <w:p w14:paraId="33F5355C" w14:textId="60CC977E" w:rsidR="002C3E35" w:rsidRPr="00F346C1" w:rsidRDefault="002C3E35" w:rsidP="00A833DA">
      <w:pPr>
        <w:pStyle w:val="ListParagraph"/>
        <w:numPr>
          <w:ilvl w:val="0"/>
          <w:numId w:val="16"/>
        </w:numPr>
        <w:rPr>
          <w:rStyle w:val="Hyperlink"/>
          <w:rFonts w:ascii="Open Sans" w:hAnsi="Open Sans" w:cs="Open Sans"/>
          <w:bCs/>
          <w:color w:val="000000"/>
          <w:sz w:val="20"/>
          <w:szCs w:val="20"/>
          <w:u w:val="none"/>
        </w:rPr>
      </w:pPr>
      <w:r w:rsidRPr="00F346C1">
        <w:rPr>
          <w:rFonts w:ascii="Open Sans" w:hAnsi="Open Sans" w:cs="Open Sans"/>
          <w:bCs/>
          <w:color w:val="000000"/>
          <w:sz w:val="20"/>
          <w:szCs w:val="20"/>
        </w:rPr>
        <w:t>Steps to Racial Equality:</w:t>
      </w:r>
      <w:r w:rsidRPr="00F346C1">
        <w:rPr>
          <w:rFonts w:ascii="Open Sans" w:hAnsi="Open Sans" w:cs="Open Sans"/>
          <w:bCs/>
          <w:i/>
          <w:iCs/>
          <w:color w:val="000000"/>
          <w:sz w:val="20"/>
          <w:szCs w:val="20"/>
        </w:rPr>
        <w:t xml:space="preserve"> </w:t>
      </w:r>
      <w:hyperlink r:id="rId12" w:history="1">
        <w:r w:rsidRPr="00F346C1">
          <w:rPr>
            <w:rStyle w:val="Hyperlink"/>
            <w:rFonts w:ascii="Open Sans" w:hAnsi="Open Sans" w:cs="Open Sans"/>
            <w:i/>
            <w:iCs/>
            <w:sz w:val="20"/>
            <w:szCs w:val="20"/>
          </w:rPr>
          <w:t>https://www.philanthropy.com/article/Color-Blind-Assessments-of/247431</w:t>
        </w:r>
      </w:hyperlink>
    </w:p>
    <w:p w14:paraId="4D0DAA75" w14:textId="38B77454" w:rsidR="00A833DA" w:rsidRDefault="00A833DA" w:rsidP="00A833DA">
      <w:pPr>
        <w:tabs>
          <w:tab w:val="left" w:pos="851"/>
        </w:tabs>
        <w:rPr>
          <w:rFonts w:ascii="Open Sans" w:hAnsi="Open Sans" w:cs="Open Sans"/>
          <w:color w:val="000000" w:themeColor="text1"/>
          <w:sz w:val="20"/>
          <w:szCs w:val="20"/>
        </w:rPr>
      </w:pPr>
      <w:r w:rsidRPr="00F346C1">
        <w:rPr>
          <w:rFonts w:ascii="Open Sans" w:hAnsi="Open Sans" w:cs="Open Sans"/>
          <w:color w:val="000000" w:themeColor="text1"/>
          <w:sz w:val="20"/>
          <w:szCs w:val="20"/>
        </w:rPr>
        <w:lastRenderedPageBreak/>
        <w:t xml:space="preserve">Below is a summary of the Nonprofit Finance Fund’s Examining Racially Biased Financial Analysis Toolkit. </w:t>
      </w:r>
    </w:p>
    <w:p w14:paraId="7F9707FB" w14:textId="77777777" w:rsidR="008F05BB" w:rsidRPr="008F05BB" w:rsidRDefault="008F05BB" w:rsidP="008F05BB">
      <w:pPr>
        <w:pStyle w:val="NoSpacing"/>
        <w:numPr>
          <w:ilvl w:val="0"/>
          <w:numId w:val="18"/>
        </w:numPr>
        <w:rPr>
          <w:rFonts w:ascii="Open Sans" w:hAnsi="Open Sans"/>
          <w:sz w:val="20"/>
          <w:szCs w:val="20"/>
        </w:rPr>
      </w:pPr>
      <w:r>
        <w:rPr>
          <w:rFonts w:ascii="Open Sans" w:hAnsi="Open Sans"/>
          <w:sz w:val="20"/>
          <w:szCs w:val="20"/>
        </w:rPr>
        <w:t>“</w:t>
      </w:r>
      <w:r w:rsidRPr="008F05BB">
        <w:rPr>
          <w:rFonts w:ascii="Open Sans" w:hAnsi="Open Sans"/>
          <w:sz w:val="20"/>
          <w:szCs w:val="20"/>
        </w:rPr>
        <w:t>As funders I think we need to pay for the type of reporting that we are asking for. We are creating a greater expense for smaller organizations</w:t>
      </w:r>
      <w:r>
        <w:rPr>
          <w:rFonts w:ascii="Open Sans" w:hAnsi="Open Sans"/>
          <w:sz w:val="20"/>
          <w:szCs w:val="20"/>
        </w:rPr>
        <w:t>.”</w:t>
      </w:r>
    </w:p>
    <w:p w14:paraId="62C5EC0F" w14:textId="77777777" w:rsidR="00570E38" w:rsidRPr="008F05BB" w:rsidRDefault="00570E38" w:rsidP="00570E38">
      <w:pPr>
        <w:pStyle w:val="NoSpacing"/>
        <w:numPr>
          <w:ilvl w:val="0"/>
          <w:numId w:val="18"/>
        </w:numPr>
        <w:rPr>
          <w:rFonts w:ascii="Open Sans" w:hAnsi="Open Sans"/>
          <w:sz w:val="20"/>
          <w:szCs w:val="20"/>
        </w:rPr>
      </w:pPr>
      <w:r w:rsidRPr="008F05BB">
        <w:rPr>
          <w:rFonts w:ascii="Open Sans" w:hAnsi="Open Sans"/>
          <w:sz w:val="20"/>
          <w:szCs w:val="20"/>
        </w:rPr>
        <w:t>Organizations with the smallest budgets have the largest impact, but they are discounted and over</w:t>
      </w:r>
      <w:r>
        <w:rPr>
          <w:rFonts w:ascii="Open Sans" w:hAnsi="Open Sans"/>
          <w:sz w:val="20"/>
          <w:szCs w:val="20"/>
        </w:rPr>
        <w:t>-</w:t>
      </w:r>
      <w:r w:rsidRPr="008F05BB">
        <w:rPr>
          <w:rFonts w:ascii="Open Sans" w:hAnsi="Open Sans"/>
          <w:sz w:val="20"/>
          <w:szCs w:val="20"/>
        </w:rPr>
        <w:t>looked</w:t>
      </w:r>
    </w:p>
    <w:p w14:paraId="06CD05CB" w14:textId="72C983DF" w:rsidR="008F05BB" w:rsidRPr="008F05BB" w:rsidRDefault="00570E38" w:rsidP="008F05BB">
      <w:pPr>
        <w:pStyle w:val="NoSpacing"/>
        <w:numPr>
          <w:ilvl w:val="0"/>
          <w:numId w:val="18"/>
        </w:numPr>
        <w:rPr>
          <w:rFonts w:ascii="Open Sans" w:hAnsi="Open Sans"/>
          <w:sz w:val="20"/>
          <w:szCs w:val="20"/>
        </w:rPr>
      </w:pPr>
      <w:r>
        <w:rPr>
          <w:rFonts w:ascii="Open Sans" w:hAnsi="Open Sans"/>
          <w:sz w:val="20"/>
          <w:szCs w:val="20"/>
        </w:rPr>
        <w:t>This toolkit h</w:t>
      </w:r>
      <w:r w:rsidR="008F05BB" w:rsidRPr="008F05BB">
        <w:rPr>
          <w:rFonts w:ascii="Open Sans" w:hAnsi="Open Sans"/>
          <w:sz w:val="20"/>
          <w:szCs w:val="20"/>
        </w:rPr>
        <w:t>elp</w:t>
      </w:r>
      <w:r>
        <w:rPr>
          <w:rFonts w:ascii="Open Sans" w:hAnsi="Open Sans"/>
          <w:sz w:val="20"/>
          <w:szCs w:val="20"/>
        </w:rPr>
        <w:t>s</w:t>
      </w:r>
      <w:r w:rsidR="008F05BB" w:rsidRPr="008F05BB">
        <w:rPr>
          <w:rFonts w:ascii="Open Sans" w:hAnsi="Open Sans"/>
          <w:sz w:val="20"/>
          <w:szCs w:val="20"/>
        </w:rPr>
        <w:t xml:space="preserve"> organizations to bridge that knowledge/financial gap</w:t>
      </w:r>
    </w:p>
    <w:p w14:paraId="20512EFC" w14:textId="77777777" w:rsidR="00A833DA" w:rsidRDefault="00A833DA" w:rsidP="00A833DA">
      <w:pPr>
        <w:tabs>
          <w:tab w:val="left" w:pos="851"/>
        </w:tabs>
        <w:rPr>
          <w:rFonts w:ascii="Open Sans" w:hAnsi="Open Sans" w:cs="Open Sans"/>
          <w:color w:val="000000" w:themeColor="text1"/>
          <w:sz w:val="16"/>
          <w:szCs w:val="16"/>
        </w:rPr>
      </w:pPr>
    </w:p>
    <w:tbl>
      <w:tblPr>
        <w:tblStyle w:val="TableGrid"/>
        <w:tblW w:w="9630" w:type="dxa"/>
        <w:tblInd w:w="-10" w:type="dxa"/>
        <w:tblLook w:val="04A0" w:firstRow="1" w:lastRow="0" w:firstColumn="1" w:lastColumn="0" w:noHBand="0" w:noVBand="1"/>
      </w:tblPr>
      <w:tblGrid>
        <w:gridCol w:w="2430"/>
        <w:gridCol w:w="3690"/>
        <w:gridCol w:w="3510"/>
      </w:tblGrid>
      <w:tr w:rsidR="00A833DA" w:rsidRPr="00FF2826" w14:paraId="05DC5710" w14:textId="77777777" w:rsidTr="00570E38">
        <w:trPr>
          <w:trHeight w:val="412"/>
          <w:tblHeader/>
        </w:trPr>
        <w:tc>
          <w:tcPr>
            <w:tcW w:w="2430" w:type="dxa"/>
            <w:tcBorders>
              <w:top w:val="single" w:sz="8" w:space="0" w:color="auto"/>
              <w:left w:val="single" w:sz="8" w:space="0" w:color="auto"/>
              <w:bottom w:val="single" w:sz="8" w:space="0" w:color="auto"/>
              <w:right w:val="single" w:sz="8" w:space="0" w:color="auto"/>
            </w:tcBorders>
            <w:shd w:val="clear" w:color="auto" w:fill="ACB9CA" w:themeFill="text2" w:themeFillTint="66"/>
          </w:tcPr>
          <w:p w14:paraId="65844346" w14:textId="77777777" w:rsidR="00A833DA" w:rsidRDefault="00A833DA" w:rsidP="008F05BB">
            <w:pPr>
              <w:tabs>
                <w:tab w:val="left" w:pos="851"/>
              </w:tabs>
              <w:jc w:val="center"/>
              <w:rPr>
                <w:rFonts w:ascii="Open Sans" w:hAnsi="Open Sans" w:cs="Open Sans"/>
                <w:b/>
                <w:bCs/>
                <w:color w:val="FFFFFF" w:themeColor="background1"/>
                <w:sz w:val="20"/>
                <w:szCs w:val="20"/>
              </w:rPr>
            </w:pPr>
          </w:p>
          <w:p w14:paraId="45042E1D" w14:textId="2BF6C773" w:rsidR="00A833DA" w:rsidRPr="00FF2826" w:rsidRDefault="00A833DA" w:rsidP="00570E38">
            <w:pPr>
              <w:tabs>
                <w:tab w:val="left" w:pos="851"/>
              </w:tabs>
              <w:jc w:val="center"/>
              <w:rPr>
                <w:rFonts w:ascii="Open Sans" w:hAnsi="Open Sans" w:cs="Open Sans"/>
                <w:b/>
                <w:bCs/>
                <w:color w:val="FFFFFF" w:themeColor="background1"/>
                <w:sz w:val="20"/>
                <w:szCs w:val="20"/>
              </w:rPr>
            </w:pPr>
            <w:r w:rsidRPr="00FF2826">
              <w:rPr>
                <w:rFonts w:ascii="Open Sans" w:hAnsi="Open Sans" w:cs="Open Sans"/>
                <w:b/>
                <w:bCs/>
                <w:color w:val="FFFFFF" w:themeColor="background1"/>
                <w:sz w:val="20"/>
                <w:szCs w:val="20"/>
              </w:rPr>
              <w:t>Blind spot</w:t>
            </w:r>
          </w:p>
        </w:tc>
        <w:tc>
          <w:tcPr>
            <w:tcW w:w="3690" w:type="dxa"/>
            <w:tcBorders>
              <w:top w:val="single" w:sz="8" w:space="0" w:color="auto"/>
              <w:left w:val="single" w:sz="8" w:space="0" w:color="auto"/>
              <w:bottom w:val="single" w:sz="8" w:space="0" w:color="auto"/>
              <w:right w:val="single" w:sz="8" w:space="0" w:color="auto"/>
            </w:tcBorders>
            <w:shd w:val="clear" w:color="auto" w:fill="ACB9CA" w:themeFill="text2" w:themeFillTint="66"/>
          </w:tcPr>
          <w:p w14:paraId="4C69D8F0" w14:textId="77777777" w:rsidR="00A833DA" w:rsidRDefault="00A833DA" w:rsidP="008F05BB">
            <w:pPr>
              <w:tabs>
                <w:tab w:val="left" w:pos="851"/>
              </w:tabs>
              <w:jc w:val="center"/>
              <w:rPr>
                <w:rFonts w:ascii="Open Sans" w:hAnsi="Open Sans" w:cs="Open Sans"/>
                <w:b/>
                <w:bCs/>
                <w:color w:val="FFFFFF" w:themeColor="background1"/>
                <w:sz w:val="20"/>
                <w:szCs w:val="20"/>
              </w:rPr>
            </w:pPr>
          </w:p>
          <w:p w14:paraId="13B45731" w14:textId="77777777" w:rsidR="00A833DA" w:rsidRPr="00FF2826" w:rsidRDefault="00A833DA" w:rsidP="008F05BB">
            <w:pPr>
              <w:tabs>
                <w:tab w:val="left" w:pos="851"/>
              </w:tabs>
              <w:jc w:val="center"/>
              <w:rPr>
                <w:rFonts w:ascii="Open Sans" w:hAnsi="Open Sans" w:cs="Open Sans"/>
                <w:b/>
                <w:bCs/>
                <w:color w:val="FFFFFF" w:themeColor="background1"/>
                <w:sz w:val="20"/>
                <w:szCs w:val="20"/>
              </w:rPr>
            </w:pPr>
            <w:r w:rsidRPr="00FF2826">
              <w:rPr>
                <w:rFonts w:ascii="Open Sans" w:hAnsi="Open Sans" w:cs="Open Sans"/>
                <w:b/>
                <w:bCs/>
                <w:color w:val="FFFFFF" w:themeColor="background1"/>
                <w:sz w:val="20"/>
                <w:szCs w:val="20"/>
              </w:rPr>
              <w:t>Inequity Exacerbated</w:t>
            </w:r>
          </w:p>
        </w:tc>
        <w:tc>
          <w:tcPr>
            <w:tcW w:w="3510" w:type="dxa"/>
            <w:tcBorders>
              <w:top w:val="single" w:sz="8" w:space="0" w:color="auto"/>
              <w:left w:val="single" w:sz="8" w:space="0" w:color="auto"/>
              <w:bottom w:val="single" w:sz="8" w:space="0" w:color="auto"/>
              <w:right w:val="single" w:sz="8" w:space="0" w:color="auto"/>
            </w:tcBorders>
            <w:shd w:val="clear" w:color="auto" w:fill="ACB9CA" w:themeFill="text2" w:themeFillTint="66"/>
          </w:tcPr>
          <w:p w14:paraId="0881AAC7" w14:textId="77777777" w:rsidR="00A833DA" w:rsidRDefault="00A833DA" w:rsidP="008F05BB">
            <w:pPr>
              <w:tabs>
                <w:tab w:val="left" w:pos="851"/>
              </w:tabs>
              <w:jc w:val="center"/>
              <w:rPr>
                <w:rFonts w:ascii="Open Sans" w:hAnsi="Open Sans" w:cs="Open Sans"/>
                <w:b/>
                <w:bCs/>
                <w:color w:val="FFFFFF" w:themeColor="background1"/>
                <w:sz w:val="20"/>
                <w:szCs w:val="20"/>
              </w:rPr>
            </w:pPr>
          </w:p>
          <w:p w14:paraId="71813BB4" w14:textId="77777777" w:rsidR="00A833DA" w:rsidRPr="00FF2826" w:rsidRDefault="00A833DA" w:rsidP="008F05BB">
            <w:pPr>
              <w:tabs>
                <w:tab w:val="left" w:pos="851"/>
              </w:tabs>
              <w:jc w:val="center"/>
              <w:rPr>
                <w:rFonts w:ascii="Open Sans" w:hAnsi="Open Sans" w:cs="Open Sans"/>
                <w:b/>
                <w:bCs/>
                <w:color w:val="FFFFFF" w:themeColor="background1"/>
                <w:sz w:val="20"/>
                <w:szCs w:val="20"/>
              </w:rPr>
            </w:pPr>
            <w:r w:rsidRPr="00FF2826">
              <w:rPr>
                <w:rFonts w:ascii="Open Sans" w:hAnsi="Open Sans" w:cs="Open Sans"/>
                <w:b/>
                <w:bCs/>
                <w:color w:val="FFFFFF" w:themeColor="background1"/>
                <w:sz w:val="20"/>
                <w:szCs w:val="20"/>
              </w:rPr>
              <w:t>Addressing Inequity</w:t>
            </w:r>
          </w:p>
        </w:tc>
      </w:tr>
      <w:tr w:rsidR="00A833DA" w14:paraId="2FB018FD" w14:textId="77777777" w:rsidTr="00570E38">
        <w:tc>
          <w:tcPr>
            <w:tcW w:w="2430" w:type="dxa"/>
            <w:tcBorders>
              <w:top w:val="single" w:sz="8" w:space="0" w:color="auto"/>
            </w:tcBorders>
          </w:tcPr>
          <w:p w14:paraId="7104BF3A" w14:textId="77777777" w:rsidR="00A833DA" w:rsidRPr="00A479DF" w:rsidRDefault="00A833DA" w:rsidP="008F05BB">
            <w:pPr>
              <w:tabs>
                <w:tab w:val="left" w:pos="851"/>
              </w:tabs>
              <w:rPr>
                <w:rFonts w:ascii="Open Sans" w:hAnsi="Open Sans" w:cs="Open Sans"/>
                <w:color w:val="000000" w:themeColor="text1"/>
                <w:sz w:val="16"/>
                <w:szCs w:val="16"/>
              </w:rPr>
            </w:pPr>
            <w:r w:rsidRPr="00A479DF">
              <w:rPr>
                <w:rFonts w:ascii="Open Sans" w:hAnsi="Open Sans" w:cs="Open Sans"/>
                <w:color w:val="000000" w:themeColor="text1"/>
                <w:sz w:val="16"/>
                <w:szCs w:val="16"/>
              </w:rPr>
              <w:t xml:space="preserve">Whose board gives </w:t>
            </w:r>
          </w:p>
        </w:tc>
        <w:tc>
          <w:tcPr>
            <w:tcW w:w="3690" w:type="dxa"/>
            <w:tcBorders>
              <w:top w:val="single" w:sz="8" w:space="0" w:color="auto"/>
            </w:tcBorders>
          </w:tcPr>
          <w:p w14:paraId="5E28F9AC" w14:textId="77777777" w:rsidR="00A833DA" w:rsidRPr="00A479DF" w:rsidRDefault="00A833DA" w:rsidP="008F05BB">
            <w:pPr>
              <w:tabs>
                <w:tab w:val="left" w:pos="851"/>
              </w:tabs>
              <w:rPr>
                <w:rFonts w:ascii="Open Sans" w:hAnsi="Open Sans" w:cs="Open Sans"/>
                <w:color w:val="000000" w:themeColor="text1"/>
                <w:sz w:val="16"/>
                <w:szCs w:val="16"/>
              </w:rPr>
            </w:pPr>
            <w:r w:rsidRPr="00A479DF">
              <w:rPr>
                <w:rFonts w:ascii="Open Sans" w:hAnsi="Open Sans" w:cs="Open Sans"/>
                <w:color w:val="000000" w:themeColor="text1"/>
                <w:sz w:val="16"/>
                <w:szCs w:val="16"/>
              </w:rPr>
              <w:t xml:space="preserve">Underestimating the support that some organizations without wealthy board members have from its community and over-estimating the community engagement of others. </w:t>
            </w:r>
          </w:p>
          <w:p w14:paraId="64FF2103" w14:textId="77777777" w:rsidR="00A833DA" w:rsidRPr="00A479DF" w:rsidRDefault="00A833DA" w:rsidP="008F05BB">
            <w:pPr>
              <w:tabs>
                <w:tab w:val="left" w:pos="851"/>
              </w:tabs>
              <w:rPr>
                <w:rFonts w:ascii="Open Sans" w:hAnsi="Open Sans" w:cs="Open Sans"/>
                <w:color w:val="000000" w:themeColor="text1"/>
                <w:sz w:val="16"/>
                <w:szCs w:val="16"/>
              </w:rPr>
            </w:pPr>
          </w:p>
        </w:tc>
        <w:tc>
          <w:tcPr>
            <w:tcW w:w="3510" w:type="dxa"/>
            <w:tcBorders>
              <w:top w:val="single" w:sz="8" w:space="0" w:color="auto"/>
            </w:tcBorders>
          </w:tcPr>
          <w:p w14:paraId="2AA24EA7" w14:textId="77777777" w:rsidR="00A833DA" w:rsidRPr="00A479DF" w:rsidRDefault="00A833DA" w:rsidP="008F05BB">
            <w:pPr>
              <w:pStyle w:val="NormalWeb"/>
              <w:shd w:val="clear" w:color="auto" w:fill="FFFFFF"/>
              <w:rPr>
                <w:rFonts w:ascii="Open Sans" w:eastAsiaTheme="minorEastAsia" w:hAnsi="Open Sans" w:cs="Open Sans"/>
                <w:color w:val="000000" w:themeColor="text1"/>
                <w:sz w:val="16"/>
                <w:szCs w:val="16"/>
              </w:rPr>
            </w:pPr>
            <w:r w:rsidRPr="00A479DF">
              <w:rPr>
                <w:rFonts w:ascii="Open Sans" w:eastAsiaTheme="minorEastAsia" w:hAnsi="Open Sans" w:cs="Open Sans"/>
                <w:color w:val="000000" w:themeColor="text1"/>
                <w:sz w:val="16"/>
                <w:szCs w:val="16"/>
              </w:rPr>
              <w:t xml:space="preserve">Count board commitment in other ways and count community engagement beyond the board with similar focus on total value, rather than money donated. </w:t>
            </w:r>
          </w:p>
        </w:tc>
      </w:tr>
      <w:tr w:rsidR="00A833DA" w14:paraId="02D3A573" w14:textId="77777777" w:rsidTr="00570E38">
        <w:tc>
          <w:tcPr>
            <w:tcW w:w="2430" w:type="dxa"/>
          </w:tcPr>
          <w:p w14:paraId="11BB5DDB" w14:textId="77777777" w:rsidR="00A833DA" w:rsidRPr="00A479DF" w:rsidRDefault="00A833DA" w:rsidP="008F05BB">
            <w:pPr>
              <w:tabs>
                <w:tab w:val="left" w:pos="851"/>
              </w:tabs>
              <w:rPr>
                <w:rFonts w:ascii="Open Sans" w:hAnsi="Open Sans" w:cs="Open Sans"/>
                <w:color w:val="000000" w:themeColor="text1"/>
                <w:sz w:val="16"/>
                <w:szCs w:val="16"/>
              </w:rPr>
            </w:pPr>
            <w:r w:rsidRPr="00A479DF">
              <w:rPr>
                <w:rFonts w:ascii="Open Sans" w:hAnsi="Open Sans" w:cs="Open Sans"/>
                <w:color w:val="000000" w:themeColor="text1"/>
                <w:sz w:val="16"/>
                <w:szCs w:val="16"/>
              </w:rPr>
              <w:t>Who can afford below cost contracts and grants</w:t>
            </w:r>
          </w:p>
        </w:tc>
        <w:tc>
          <w:tcPr>
            <w:tcW w:w="3690" w:type="dxa"/>
          </w:tcPr>
          <w:p w14:paraId="5C0C5A05" w14:textId="77777777" w:rsidR="00A833DA" w:rsidRPr="00A479DF" w:rsidRDefault="00A833DA" w:rsidP="008F05BB">
            <w:pPr>
              <w:pStyle w:val="NormalWeb"/>
              <w:shd w:val="clear" w:color="auto" w:fill="FFFFFF"/>
              <w:rPr>
                <w:rFonts w:ascii="Open Sans" w:eastAsiaTheme="minorEastAsia" w:hAnsi="Open Sans" w:cs="Open Sans"/>
                <w:color w:val="000000" w:themeColor="text1"/>
                <w:sz w:val="16"/>
                <w:szCs w:val="16"/>
              </w:rPr>
            </w:pPr>
            <w:r w:rsidRPr="00A479DF">
              <w:rPr>
                <w:rFonts w:ascii="Open Sans" w:eastAsiaTheme="minorEastAsia" w:hAnsi="Open Sans" w:cs="Open Sans"/>
                <w:color w:val="000000" w:themeColor="text1"/>
                <w:sz w:val="16"/>
                <w:szCs w:val="16"/>
              </w:rPr>
              <w:t xml:space="preserve">Orgs with connections to private donors can take this on and the revenue that comes with it; those without connections and the ability to invest in more fundraising cannot. </w:t>
            </w:r>
          </w:p>
        </w:tc>
        <w:tc>
          <w:tcPr>
            <w:tcW w:w="3510" w:type="dxa"/>
          </w:tcPr>
          <w:p w14:paraId="60E66C3F" w14:textId="77777777" w:rsidR="00A833DA" w:rsidRPr="00A479DF" w:rsidRDefault="00A833DA" w:rsidP="008F05BB">
            <w:pPr>
              <w:pStyle w:val="NormalWeb"/>
              <w:shd w:val="clear" w:color="auto" w:fill="FFFFFF"/>
              <w:rPr>
                <w:rFonts w:ascii="Open Sans" w:eastAsiaTheme="minorEastAsia" w:hAnsi="Open Sans" w:cs="Open Sans"/>
                <w:color w:val="000000" w:themeColor="text1"/>
                <w:sz w:val="16"/>
                <w:szCs w:val="16"/>
              </w:rPr>
            </w:pPr>
            <w:r w:rsidRPr="00A479DF">
              <w:rPr>
                <w:rFonts w:ascii="Open Sans" w:eastAsiaTheme="minorEastAsia" w:hAnsi="Open Sans" w:cs="Open Sans"/>
                <w:color w:val="000000" w:themeColor="text1"/>
                <w:sz w:val="16"/>
                <w:szCs w:val="16"/>
              </w:rPr>
              <w:t xml:space="preserve">Cover full costs. There is no way to be equitable without that. Help grantees understand and advocate for full-cost coverage from contracts and grants. </w:t>
            </w:r>
          </w:p>
        </w:tc>
      </w:tr>
      <w:tr w:rsidR="00A833DA" w14:paraId="4F852C32" w14:textId="77777777" w:rsidTr="00570E38">
        <w:tc>
          <w:tcPr>
            <w:tcW w:w="2430" w:type="dxa"/>
          </w:tcPr>
          <w:p w14:paraId="0C7EEA39" w14:textId="77777777" w:rsidR="00A833DA" w:rsidRPr="00A479DF" w:rsidRDefault="00A833DA" w:rsidP="008F05BB">
            <w:pPr>
              <w:tabs>
                <w:tab w:val="left" w:pos="851"/>
              </w:tabs>
              <w:rPr>
                <w:rFonts w:ascii="Open Sans" w:hAnsi="Open Sans" w:cs="Open Sans"/>
                <w:color w:val="000000" w:themeColor="text1"/>
                <w:sz w:val="16"/>
                <w:szCs w:val="16"/>
              </w:rPr>
            </w:pPr>
            <w:r w:rsidRPr="00A479DF">
              <w:rPr>
                <w:rFonts w:ascii="Open Sans" w:hAnsi="Open Sans" w:cs="Open Sans"/>
                <w:color w:val="000000" w:themeColor="text1"/>
                <w:sz w:val="16"/>
                <w:szCs w:val="16"/>
              </w:rPr>
              <w:t>Who can benefit from matching grants</w:t>
            </w:r>
          </w:p>
        </w:tc>
        <w:tc>
          <w:tcPr>
            <w:tcW w:w="3690" w:type="dxa"/>
          </w:tcPr>
          <w:p w14:paraId="7BEC3E15" w14:textId="77777777" w:rsidR="00A833DA" w:rsidRPr="00A479DF" w:rsidRDefault="00A833DA" w:rsidP="008F05BB">
            <w:pPr>
              <w:pStyle w:val="NormalWeb"/>
              <w:shd w:val="clear" w:color="auto" w:fill="FFFFFF"/>
              <w:rPr>
                <w:rFonts w:ascii="Open Sans" w:eastAsiaTheme="minorEastAsia" w:hAnsi="Open Sans" w:cs="Open Sans"/>
                <w:color w:val="000000" w:themeColor="text1"/>
                <w:sz w:val="16"/>
                <w:szCs w:val="16"/>
              </w:rPr>
            </w:pPr>
            <w:r w:rsidRPr="00A479DF">
              <w:rPr>
                <w:rFonts w:ascii="Open Sans" w:eastAsiaTheme="minorEastAsia" w:hAnsi="Open Sans" w:cs="Open Sans"/>
                <w:color w:val="000000" w:themeColor="text1"/>
                <w:sz w:val="16"/>
                <w:szCs w:val="16"/>
              </w:rPr>
              <w:t>Matching grants steer funding toward organizations already able to find the match.</w:t>
            </w:r>
          </w:p>
        </w:tc>
        <w:tc>
          <w:tcPr>
            <w:tcW w:w="3510" w:type="dxa"/>
          </w:tcPr>
          <w:p w14:paraId="3116B75D" w14:textId="77777777" w:rsidR="00A833DA" w:rsidRPr="00A479DF" w:rsidRDefault="00A833DA" w:rsidP="008F05BB">
            <w:pPr>
              <w:pStyle w:val="NormalWeb"/>
              <w:shd w:val="clear" w:color="auto" w:fill="FFFFFF"/>
              <w:rPr>
                <w:rFonts w:ascii="Open Sans" w:eastAsiaTheme="minorEastAsia" w:hAnsi="Open Sans" w:cs="Open Sans"/>
                <w:color w:val="000000" w:themeColor="text1"/>
                <w:sz w:val="16"/>
                <w:szCs w:val="16"/>
              </w:rPr>
            </w:pPr>
            <w:r w:rsidRPr="00A479DF">
              <w:rPr>
                <w:rFonts w:ascii="Open Sans" w:eastAsiaTheme="minorEastAsia" w:hAnsi="Open Sans" w:cs="Open Sans"/>
                <w:color w:val="000000" w:themeColor="text1"/>
                <w:sz w:val="16"/>
                <w:szCs w:val="16"/>
              </w:rPr>
              <w:t>Do not make funding contingent on securing a match. Find other ways to motivate additional giving by offering to connect grantees to other donors.</w:t>
            </w:r>
          </w:p>
        </w:tc>
      </w:tr>
      <w:tr w:rsidR="00A833DA" w14:paraId="1DEB7308" w14:textId="77777777" w:rsidTr="00570E38">
        <w:tc>
          <w:tcPr>
            <w:tcW w:w="2430" w:type="dxa"/>
          </w:tcPr>
          <w:p w14:paraId="42FD69F5" w14:textId="77777777" w:rsidR="00A833DA" w:rsidRPr="00A479DF" w:rsidRDefault="00A833DA" w:rsidP="008F05BB">
            <w:pPr>
              <w:tabs>
                <w:tab w:val="left" w:pos="851"/>
              </w:tabs>
              <w:rPr>
                <w:rFonts w:ascii="Open Sans" w:hAnsi="Open Sans" w:cs="Open Sans"/>
                <w:color w:val="000000" w:themeColor="text1"/>
                <w:sz w:val="16"/>
                <w:szCs w:val="16"/>
              </w:rPr>
            </w:pPr>
            <w:r w:rsidRPr="00A479DF">
              <w:rPr>
                <w:rFonts w:ascii="Open Sans" w:hAnsi="Open Sans" w:cs="Open Sans"/>
                <w:color w:val="000000" w:themeColor="text1"/>
                <w:sz w:val="16"/>
                <w:szCs w:val="16"/>
              </w:rPr>
              <w:t xml:space="preserve">Minimum revenue required to secure some grants keep small organizations small. </w:t>
            </w:r>
          </w:p>
        </w:tc>
        <w:tc>
          <w:tcPr>
            <w:tcW w:w="3690" w:type="dxa"/>
          </w:tcPr>
          <w:p w14:paraId="0ED6B625" w14:textId="77777777" w:rsidR="00A833DA" w:rsidRPr="00A479DF" w:rsidRDefault="00A833DA" w:rsidP="008F05BB">
            <w:pPr>
              <w:pStyle w:val="NormalWeb"/>
              <w:shd w:val="clear" w:color="auto" w:fill="FFFFFF"/>
              <w:rPr>
                <w:rFonts w:ascii="Open Sans" w:eastAsiaTheme="minorEastAsia" w:hAnsi="Open Sans" w:cs="Open Sans"/>
                <w:color w:val="000000" w:themeColor="text1"/>
                <w:sz w:val="16"/>
                <w:szCs w:val="16"/>
              </w:rPr>
            </w:pPr>
            <w:r w:rsidRPr="00A479DF">
              <w:rPr>
                <w:rFonts w:ascii="Open Sans" w:eastAsiaTheme="minorEastAsia" w:hAnsi="Open Sans" w:cs="Open Sans"/>
                <w:color w:val="000000" w:themeColor="text1"/>
                <w:sz w:val="16"/>
                <w:szCs w:val="16"/>
              </w:rPr>
              <w:t xml:space="preserve">Orgs without community financial wealth have harder time raising individual donations and managing “revenue risk,” as well as being “stable” enough for institutional funding. This leaves important, community organizations vulnerable. </w:t>
            </w:r>
          </w:p>
        </w:tc>
        <w:tc>
          <w:tcPr>
            <w:tcW w:w="3510" w:type="dxa"/>
          </w:tcPr>
          <w:p w14:paraId="5E16709F" w14:textId="77777777" w:rsidR="00A833DA" w:rsidRPr="00A479DF" w:rsidRDefault="00A833DA" w:rsidP="008F05BB">
            <w:pPr>
              <w:pStyle w:val="NormalWeb"/>
              <w:shd w:val="clear" w:color="auto" w:fill="FFFFFF"/>
              <w:rPr>
                <w:rFonts w:ascii="Open Sans" w:eastAsiaTheme="minorEastAsia" w:hAnsi="Open Sans" w:cs="Open Sans"/>
                <w:color w:val="000000" w:themeColor="text1"/>
                <w:sz w:val="16"/>
                <w:szCs w:val="16"/>
              </w:rPr>
            </w:pPr>
            <w:r w:rsidRPr="00A479DF">
              <w:rPr>
                <w:rFonts w:ascii="Open Sans" w:eastAsiaTheme="minorEastAsia" w:hAnsi="Open Sans" w:cs="Open Sans"/>
                <w:color w:val="000000" w:themeColor="text1"/>
                <w:sz w:val="16"/>
                <w:szCs w:val="16"/>
              </w:rPr>
              <w:t xml:space="preserve">Don’t apply revenue size and composition blindly as a hallmark of financial health. Consider history of org and access. Provide funding for small orgs to build their capacity to manage larger contracts, and then set aside some money to fund smaller orgs with larger grants. </w:t>
            </w:r>
          </w:p>
        </w:tc>
      </w:tr>
      <w:tr w:rsidR="00A833DA" w14:paraId="722FDDB4" w14:textId="77777777" w:rsidTr="00570E38">
        <w:tc>
          <w:tcPr>
            <w:tcW w:w="2430" w:type="dxa"/>
          </w:tcPr>
          <w:p w14:paraId="6CA8C9A1" w14:textId="77777777" w:rsidR="00A833DA" w:rsidRPr="00A479DF" w:rsidRDefault="00A833DA" w:rsidP="008F05BB">
            <w:pPr>
              <w:pStyle w:val="NormalWeb"/>
              <w:shd w:val="clear" w:color="auto" w:fill="FFFFFF"/>
              <w:rPr>
                <w:rFonts w:ascii="Open Sans" w:eastAsiaTheme="minorEastAsia" w:hAnsi="Open Sans" w:cs="Open Sans"/>
                <w:color w:val="000000" w:themeColor="text1"/>
                <w:sz w:val="16"/>
                <w:szCs w:val="16"/>
              </w:rPr>
            </w:pPr>
            <w:r w:rsidRPr="00A479DF">
              <w:rPr>
                <w:rFonts w:ascii="Open Sans" w:eastAsiaTheme="minorEastAsia" w:hAnsi="Open Sans" w:cs="Open Sans"/>
                <w:color w:val="000000" w:themeColor="text1"/>
                <w:sz w:val="16"/>
                <w:szCs w:val="16"/>
              </w:rPr>
              <w:t xml:space="preserve">Funders associate small organizations with community authenticity </w:t>
            </w:r>
          </w:p>
          <w:p w14:paraId="224C0985" w14:textId="77777777" w:rsidR="00A833DA" w:rsidRPr="00A479DF" w:rsidRDefault="00A833DA" w:rsidP="008F05BB">
            <w:pPr>
              <w:tabs>
                <w:tab w:val="left" w:pos="851"/>
              </w:tabs>
              <w:rPr>
                <w:rFonts w:ascii="Open Sans" w:hAnsi="Open Sans" w:cs="Open Sans"/>
                <w:color w:val="000000" w:themeColor="text1"/>
                <w:sz w:val="16"/>
                <w:szCs w:val="16"/>
              </w:rPr>
            </w:pPr>
          </w:p>
        </w:tc>
        <w:tc>
          <w:tcPr>
            <w:tcW w:w="3690" w:type="dxa"/>
          </w:tcPr>
          <w:p w14:paraId="5A15F9AC" w14:textId="77777777" w:rsidR="00A833DA" w:rsidRPr="00A479DF" w:rsidRDefault="00A833DA" w:rsidP="008F05BB">
            <w:pPr>
              <w:pStyle w:val="NormalWeb"/>
              <w:shd w:val="clear" w:color="auto" w:fill="FFFFFF"/>
              <w:rPr>
                <w:rFonts w:ascii="Open Sans" w:eastAsiaTheme="minorEastAsia" w:hAnsi="Open Sans" w:cs="Open Sans"/>
                <w:color w:val="000000" w:themeColor="text1"/>
                <w:sz w:val="16"/>
                <w:szCs w:val="16"/>
              </w:rPr>
            </w:pPr>
            <w:r w:rsidRPr="00A479DF">
              <w:rPr>
                <w:rFonts w:ascii="Open Sans" w:eastAsiaTheme="minorEastAsia" w:hAnsi="Open Sans" w:cs="Open Sans"/>
                <w:color w:val="000000" w:themeColor="text1"/>
                <w:sz w:val="16"/>
                <w:szCs w:val="16"/>
              </w:rPr>
              <w:t xml:space="preserve">Small, community-based organizations stay small and disconnected from larger donors with minimum-size rules. </w:t>
            </w:r>
          </w:p>
        </w:tc>
        <w:tc>
          <w:tcPr>
            <w:tcW w:w="3510" w:type="dxa"/>
          </w:tcPr>
          <w:p w14:paraId="18182AD5" w14:textId="77777777" w:rsidR="00A833DA" w:rsidRPr="00A479DF" w:rsidRDefault="00A833DA" w:rsidP="008F05BB">
            <w:pPr>
              <w:pStyle w:val="NormalWeb"/>
              <w:shd w:val="clear" w:color="auto" w:fill="FFFFFF"/>
              <w:rPr>
                <w:rFonts w:ascii="Open Sans" w:eastAsiaTheme="minorEastAsia" w:hAnsi="Open Sans" w:cs="Open Sans"/>
                <w:color w:val="000000" w:themeColor="text1"/>
                <w:sz w:val="16"/>
                <w:szCs w:val="16"/>
              </w:rPr>
            </w:pPr>
            <w:r w:rsidRPr="00A479DF">
              <w:rPr>
                <w:rFonts w:ascii="Open Sans" w:eastAsiaTheme="minorEastAsia" w:hAnsi="Open Sans" w:cs="Open Sans"/>
                <w:color w:val="000000" w:themeColor="text1"/>
                <w:sz w:val="16"/>
                <w:szCs w:val="16"/>
              </w:rPr>
              <w:t xml:space="preserve">Assess proposals based on the org’s potential to do the work, not its historic revenues; for larger funders, explicitly carve out some funding for smaller orgs to invest in their capacity to compete for and win larger grants. </w:t>
            </w:r>
          </w:p>
        </w:tc>
      </w:tr>
      <w:tr w:rsidR="00A833DA" w14:paraId="5D916725" w14:textId="77777777" w:rsidTr="00570E38">
        <w:tc>
          <w:tcPr>
            <w:tcW w:w="2430" w:type="dxa"/>
          </w:tcPr>
          <w:p w14:paraId="315948AA" w14:textId="77777777" w:rsidR="00A833DA" w:rsidRPr="00A479DF" w:rsidRDefault="00A833DA" w:rsidP="008F05BB">
            <w:pPr>
              <w:pStyle w:val="NormalWeb"/>
              <w:shd w:val="clear" w:color="auto" w:fill="FFFFFF"/>
              <w:rPr>
                <w:rFonts w:ascii="Open Sans" w:eastAsiaTheme="minorEastAsia" w:hAnsi="Open Sans" w:cs="Open Sans"/>
                <w:color w:val="000000" w:themeColor="text1"/>
                <w:sz w:val="16"/>
                <w:szCs w:val="16"/>
              </w:rPr>
            </w:pPr>
            <w:r w:rsidRPr="00A479DF">
              <w:rPr>
                <w:rFonts w:ascii="Open Sans" w:eastAsiaTheme="minorEastAsia" w:hAnsi="Open Sans" w:cs="Open Sans"/>
                <w:color w:val="000000" w:themeColor="text1"/>
                <w:sz w:val="16"/>
                <w:szCs w:val="16"/>
              </w:rPr>
              <w:t xml:space="preserve">Salaries can be much lower than the market value of the services being provided </w:t>
            </w:r>
          </w:p>
          <w:p w14:paraId="4945686A" w14:textId="77777777" w:rsidR="00A833DA" w:rsidRPr="00A479DF" w:rsidRDefault="00A833DA" w:rsidP="008F05BB">
            <w:pPr>
              <w:tabs>
                <w:tab w:val="left" w:pos="851"/>
              </w:tabs>
              <w:rPr>
                <w:rFonts w:ascii="Open Sans" w:hAnsi="Open Sans" w:cs="Open Sans"/>
                <w:color w:val="000000" w:themeColor="text1"/>
                <w:sz w:val="16"/>
                <w:szCs w:val="16"/>
              </w:rPr>
            </w:pPr>
          </w:p>
        </w:tc>
        <w:tc>
          <w:tcPr>
            <w:tcW w:w="3690" w:type="dxa"/>
          </w:tcPr>
          <w:p w14:paraId="175FA8FF" w14:textId="291D6AFC" w:rsidR="00A833DA" w:rsidRPr="00570E38" w:rsidRDefault="00A833DA" w:rsidP="00570E38">
            <w:pPr>
              <w:pStyle w:val="NormalWeb"/>
              <w:shd w:val="clear" w:color="auto" w:fill="FFFFFF"/>
              <w:rPr>
                <w:rFonts w:ascii="Open Sans" w:eastAsiaTheme="minorEastAsia" w:hAnsi="Open Sans" w:cs="Open Sans"/>
                <w:color w:val="000000" w:themeColor="text1"/>
                <w:sz w:val="16"/>
                <w:szCs w:val="16"/>
              </w:rPr>
            </w:pPr>
            <w:r w:rsidRPr="00A479DF">
              <w:rPr>
                <w:rFonts w:ascii="Open Sans" w:eastAsiaTheme="minorEastAsia" w:hAnsi="Open Sans" w:cs="Open Sans"/>
                <w:color w:val="000000" w:themeColor="text1"/>
                <w:sz w:val="16"/>
                <w:szCs w:val="16"/>
              </w:rPr>
              <w:t xml:space="preserve">Low salary signals to funders a lack of skill and experience or lack of financial savvy among the potential grantee’s leadership, making it harder to secure a grant, and reducing the grant size once secured if it is pegged to day rates of salary being paid. </w:t>
            </w:r>
          </w:p>
        </w:tc>
        <w:tc>
          <w:tcPr>
            <w:tcW w:w="3510" w:type="dxa"/>
          </w:tcPr>
          <w:p w14:paraId="4BE2F9AE" w14:textId="77777777" w:rsidR="00A833DA" w:rsidRPr="00A479DF" w:rsidRDefault="00A833DA" w:rsidP="008F05BB">
            <w:pPr>
              <w:pStyle w:val="NormalWeb"/>
              <w:shd w:val="clear" w:color="auto" w:fill="FFFFFF"/>
              <w:rPr>
                <w:rFonts w:ascii="Open Sans" w:eastAsiaTheme="minorEastAsia" w:hAnsi="Open Sans" w:cs="Open Sans"/>
                <w:color w:val="000000" w:themeColor="text1"/>
                <w:sz w:val="16"/>
                <w:szCs w:val="16"/>
              </w:rPr>
            </w:pPr>
            <w:r w:rsidRPr="00A479DF">
              <w:rPr>
                <w:rFonts w:ascii="Open Sans" w:eastAsiaTheme="minorEastAsia" w:hAnsi="Open Sans" w:cs="Open Sans"/>
                <w:color w:val="000000" w:themeColor="text1"/>
                <w:sz w:val="16"/>
                <w:szCs w:val="16"/>
              </w:rPr>
              <w:t xml:space="preserve">Understand the value of the work being performed under a grant and provide larger grants to cover a reasonable rate for securing these services. Do not make funding rules that pay differential rates for the same work based on an org’s historic budget size. </w:t>
            </w:r>
          </w:p>
        </w:tc>
      </w:tr>
      <w:tr w:rsidR="00A833DA" w14:paraId="6DF50CAD" w14:textId="77777777" w:rsidTr="00570E38">
        <w:tc>
          <w:tcPr>
            <w:tcW w:w="2430" w:type="dxa"/>
          </w:tcPr>
          <w:p w14:paraId="2E2ED59A" w14:textId="77777777" w:rsidR="00A833DA" w:rsidRPr="00A479DF" w:rsidRDefault="00A833DA" w:rsidP="008F05BB">
            <w:pPr>
              <w:pStyle w:val="NormalWeb"/>
              <w:shd w:val="clear" w:color="auto" w:fill="FFFFFF"/>
              <w:rPr>
                <w:rFonts w:ascii="Open Sans" w:eastAsiaTheme="minorEastAsia" w:hAnsi="Open Sans" w:cs="Open Sans"/>
                <w:color w:val="000000" w:themeColor="text1"/>
                <w:sz w:val="16"/>
                <w:szCs w:val="16"/>
              </w:rPr>
            </w:pPr>
            <w:r w:rsidRPr="00A479DF">
              <w:rPr>
                <w:rFonts w:ascii="Open Sans" w:eastAsiaTheme="minorEastAsia" w:hAnsi="Open Sans" w:cs="Open Sans"/>
                <w:color w:val="000000" w:themeColor="text1"/>
                <w:sz w:val="16"/>
                <w:szCs w:val="16"/>
              </w:rPr>
              <w:t xml:space="preserve">Only certain volunteers count financially </w:t>
            </w:r>
          </w:p>
          <w:p w14:paraId="55C542A5" w14:textId="77777777" w:rsidR="00A833DA" w:rsidRPr="00A479DF" w:rsidRDefault="00A833DA" w:rsidP="008F05BB">
            <w:pPr>
              <w:pStyle w:val="NormalWeb"/>
              <w:shd w:val="clear" w:color="auto" w:fill="FFFFFF"/>
              <w:rPr>
                <w:rFonts w:ascii="Open Sans" w:eastAsiaTheme="minorEastAsia" w:hAnsi="Open Sans" w:cs="Open Sans"/>
                <w:color w:val="000000" w:themeColor="text1"/>
                <w:sz w:val="16"/>
                <w:szCs w:val="16"/>
              </w:rPr>
            </w:pPr>
          </w:p>
        </w:tc>
        <w:tc>
          <w:tcPr>
            <w:tcW w:w="3690" w:type="dxa"/>
          </w:tcPr>
          <w:p w14:paraId="0B9A9BA5" w14:textId="77777777" w:rsidR="00A833DA" w:rsidRPr="00A479DF" w:rsidRDefault="00A833DA" w:rsidP="00A833DA">
            <w:pPr>
              <w:pStyle w:val="NormalWeb"/>
              <w:shd w:val="clear" w:color="auto" w:fill="FFFFFF"/>
              <w:rPr>
                <w:rFonts w:ascii="Open Sans" w:eastAsiaTheme="minorEastAsia" w:hAnsi="Open Sans" w:cs="Open Sans"/>
                <w:color w:val="000000" w:themeColor="text1"/>
                <w:sz w:val="16"/>
                <w:szCs w:val="16"/>
              </w:rPr>
            </w:pPr>
            <w:r w:rsidRPr="00A479DF">
              <w:rPr>
                <w:rFonts w:ascii="Open Sans" w:eastAsiaTheme="minorEastAsia" w:hAnsi="Open Sans" w:cs="Open Sans"/>
                <w:color w:val="000000" w:themeColor="text1"/>
                <w:sz w:val="16"/>
                <w:szCs w:val="16"/>
              </w:rPr>
              <w:t xml:space="preserve">If grant size is pegged to a set percentage of an organization’s revenue, or general view of its “size,” then the organization better-connected to credentialed professional volunteers will be eligible for larger grants. </w:t>
            </w:r>
          </w:p>
        </w:tc>
        <w:tc>
          <w:tcPr>
            <w:tcW w:w="3510" w:type="dxa"/>
          </w:tcPr>
          <w:p w14:paraId="4551CB67" w14:textId="77777777" w:rsidR="00A833DA" w:rsidRPr="00A479DF" w:rsidRDefault="00A833DA" w:rsidP="008F05BB">
            <w:pPr>
              <w:pStyle w:val="NormalWeb"/>
              <w:shd w:val="clear" w:color="auto" w:fill="FFFFFF"/>
              <w:rPr>
                <w:rFonts w:ascii="Open Sans" w:eastAsiaTheme="minorEastAsia" w:hAnsi="Open Sans" w:cs="Open Sans"/>
                <w:color w:val="000000" w:themeColor="text1"/>
                <w:sz w:val="16"/>
                <w:szCs w:val="16"/>
              </w:rPr>
            </w:pPr>
            <w:r w:rsidRPr="00A479DF">
              <w:rPr>
                <w:rFonts w:ascii="Open Sans" w:eastAsiaTheme="minorEastAsia" w:hAnsi="Open Sans" w:cs="Open Sans"/>
                <w:color w:val="000000" w:themeColor="text1"/>
                <w:sz w:val="16"/>
                <w:szCs w:val="16"/>
              </w:rPr>
              <w:t xml:space="preserve">Don’t rely on set ratios that limit grants to a certain share of total revenue without adjusting for context. Take the time to understand all the resources the org mobilizes. </w:t>
            </w:r>
          </w:p>
        </w:tc>
      </w:tr>
      <w:tr w:rsidR="00A833DA" w14:paraId="1B48178E" w14:textId="77777777" w:rsidTr="00570E38">
        <w:tc>
          <w:tcPr>
            <w:tcW w:w="2430" w:type="dxa"/>
          </w:tcPr>
          <w:p w14:paraId="6CF43604" w14:textId="77777777" w:rsidR="00A833DA" w:rsidRPr="00A479DF" w:rsidRDefault="00A833DA" w:rsidP="008F05BB">
            <w:pPr>
              <w:pStyle w:val="NormalWeb"/>
              <w:shd w:val="clear" w:color="auto" w:fill="FFFFFF"/>
              <w:rPr>
                <w:rFonts w:ascii="Open Sans" w:eastAsiaTheme="minorEastAsia" w:hAnsi="Open Sans" w:cs="Open Sans"/>
                <w:color w:val="000000" w:themeColor="text1"/>
                <w:sz w:val="16"/>
                <w:szCs w:val="16"/>
              </w:rPr>
            </w:pPr>
            <w:r w:rsidRPr="00A479DF">
              <w:rPr>
                <w:rFonts w:ascii="Open Sans" w:eastAsiaTheme="minorEastAsia" w:hAnsi="Open Sans" w:cs="Open Sans"/>
                <w:color w:val="000000" w:themeColor="text1"/>
                <w:sz w:val="16"/>
                <w:szCs w:val="16"/>
              </w:rPr>
              <w:t xml:space="preserve">Endowment existence/size </w:t>
            </w:r>
          </w:p>
          <w:p w14:paraId="6FC92A51" w14:textId="77777777" w:rsidR="00A833DA" w:rsidRPr="00A479DF" w:rsidRDefault="00A833DA" w:rsidP="008F05BB">
            <w:pPr>
              <w:pStyle w:val="NormalWeb"/>
              <w:shd w:val="clear" w:color="auto" w:fill="FFFFFF"/>
              <w:rPr>
                <w:rFonts w:ascii="Arial,Bold" w:hAnsi="Arial,Bold"/>
                <w:sz w:val="16"/>
                <w:szCs w:val="16"/>
              </w:rPr>
            </w:pPr>
          </w:p>
        </w:tc>
        <w:tc>
          <w:tcPr>
            <w:tcW w:w="3690" w:type="dxa"/>
          </w:tcPr>
          <w:p w14:paraId="136950CD" w14:textId="77777777" w:rsidR="00A833DA" w:rsidRPr="00A479DF" w:rsidRDefault="00A833DA" w:rsidP="008F05BB">
            <w:pPr>
              <w:pStyle w:val="NormalWeb"/>
              <w:shd w:val="clear" w:color="auto" w:fill="FFFFFF"/>
              <w:rPr>
                <w:rFonts w:ascii="Open Sans" w:eastAsiaTheme="minorEastAsia" w:hAnsi="Open Sans" w:cs="Open Sans"/>
                <w:color w:val="000000" w:themeColor="text1"/>
                <w:sz w:val="16"/>
                <w:szCs w:val="16"/>
              </w:rPr>
            </w:pPr>
            <w:r w:rsidRPr="00A479DF">
              <w:rPr>
                <w:rFonts w:ascii="Open Sans" w:eastAsiaTheme="minorEastAsia" w:hAnsi="Open Sans" w:cs="Open Sans"/>
                <w:color w:val="000000" w:themeColor="text1"/>
                <w:sz w:val="16"/>
                <w:szCs w:val="16"/>
              </w:rPr>
              <w:t>Funders who consider an endowment a marker of success may not give to the community center, despite its efficacy serving its</w:t>
            </w:r>
            <w:r w:rsidRPr="00A479DF">
              <w:rPr>
                <w:rFonts w:ascii="Arial" w:hAnsi="Arial" w:cs="Arial"/>
                <w:sz w:val="16"/>
                <w:szCs w:val="16"/>
              </w:rPr>
              <w:t xml:space="preserve"> </w:t>
            </w:r>
            <w:r w:rsidRPr="00A479DF">
              <w:rPr>
                <w:rFonts w:ascii="Open Sans" w:eastAsiaTheme="minorEastAsia" w:hAnsi="Open Sans" w:cs="Open Sans"/>
                <w:color w:val="000000" w:themeColor="text1"/>
                <w:sz w:val="16"/>
                <w:szCs w:val="16"/>
              </w:rPr>
              <w:t>community and its resulting popularity.</w:t>
            </w:r>
          </w:p>
        </w:tc>
        <w:tc>
          <w:tcPr>
            <w:tcW w:w="3510" w:type="dxa"/>
          </w:tcPr>
          <w:p w14:paraId="4A4D8730" w14:textId="77777777" w:rsidR="00A833DA" w:rsidRPr="00A479DF" w:rsidRDefault="00A833DA" w:rsidP="008F05BB">
            <w:pPr>
              <w:pStyle w:val="NormalWeb"/>
              <w:shd w:val="clear" w:color="auto" w:fill="FFFFFF"/>
              <w:rPr>
                <w:rFonts w:ascii="Open Sans" w:eastAsiaTheme="minorEastAsia" w:hAnsi="Open Sans" w:cs="Open Sans"/>
                <w:color w:val="000000" w:themeColor="text1"/>
                <w:sz w:val="16"/>
                <w:szCs w:val="16"/>
              </w:rPr>
            </w:pPr>
            <w:r w:rsidRPr="00A479DF">
              <w:rPr>
                <w:rFonts w:ascii="Open Sans" w:eastAsiaTheme="minorEastAsia" w:hAnsi="Open Sans" w:cs="Open Sans"/>
                <w:color w:val="000000" w:themeColor="text1"/>
                <w:sz w:val="16"/>
                <w:szCs w:val="16"/>
              </w:rPr>
              <w:t xml:space="preserve">Don’t use the existence of an endowment or lack as a consideration for funding. Find other ways to measure community support. </w:t>
            </w:r>
          </w:p>
        </w:tc>
      </w:tr>
    </w:tbl>
    <w:p w14:paraId="13C55A8C" w14:textId="77777777" w:rsidR="00570E38" w:rsidRDefault="00570E38" w:rsidP="002C3E35">
      <w:pPr>
        <w:rPr>
          <w:rFonts w:ascii="Open Sans" w:hAnsi="Open Sans" w:cs="Open Sans"/>
          <w:b/>
          <w:color w:val="000000"/>
          <w:sz w:val="20"/>
          <w:szCs w:val="20"/>
        </w:rPr>
      </w:pPr>
    </w:p>
    <w:p w14:paraId="610CE229" w14:textId="689E162B" w:rsidR="002C3E35" w:rsidRPr="00F346C1" w:rsidRDefault="002C3E35" w:rsidP="002C3E35">
      <w:pPr>
        <w:rPr>
          <w:rFonts w:ascii="Open Sans" w:hAnsi="Open Sans" w:cs="Open Sans"/>
          <w:b/>
          <w:color w:val="000000"/>
          <w:sz w:val="20"/>
          <w:szCs w:val="20"/>
        </w:rPr>
      </w:pPr>
      <w:r w:rsidRPr="00F346C1">
        <w:rPr>
          <w:rFonts w:ascii="Open Sans" w:hAnsi="Open Sans" w:cs="Open Sans"/>
          <w:b/>
          <w:color w:val="000000"/>
          <w:sz w:val="20"/>
          <w:szCs w:val="20"/>
        </w:rPr>
        <w:lastRenderedPageBreak/>
        <w:t xml:space="preserve">Guest Speaker #2: Jackie Berry, Manager, Education Initiatives, 3M </w:t>
      </w:r>
    </w:p>
    <w:p w14:paraId="40600EB6" w14:textId="42AC2EF6" w:rsidR="00A479DF" w:rsidRPr="00F346C1" w:rsidRDefault="00A479DF" w:rsidP="00A479DF">
      <w:pPr>
        <w:pStyle w:val="ListParagraph"/>
        <w:numPr>
          <w:ilvl w:val="0"/>
          <w:numId w:val="17"/>
        </w:numPr>
        <w:rPr>
          <w:rFonts w:ascii="Open Sans" w:hAnsi="Open Sans" w:cs="Open Sans"/>
          <w:b/>
          <w:bCs/>
          <w:color w:val="000000"/>
          <w:sz w:val="20"/>
          <w:szCs w:val="20"/>
        </w:rPr>
      </w:pPr>
      <w:r w:rsidRPr="00F346C1">
        <w:rPr>
          <w:rFonts w:ascii="Open Sans" w:hAnsi="Open Sans" w:cs="Open Sans"/>
          <w:color w:val="000000"/>
          <w:sz w:val="20"/>
          <w:szCs w:val="20"/>
        </w:rPr>
        <w:t xml:space="preserve">Strategy re-fresh occurred a few years ago when the staff and Board recognized that it was difficult to tell the story of what 3M’s focus areas were and what they supported. </w:t>
      </w:r>
    </w:p>
    <w:p w14:paraId="78EA9BF8" w14:textId="01CAD126" w:rsidR="00A479DF" w:rsidRPr="00F346C1" w:rsidRDefault="00A479DF" w:rsidP="00A479DF">
      <w:pPr>
        <w:pStyle w:val="ListParagraph"/>
        <w:numPr>
          <w:ilvl w:val="0"/>
          <w:numId w:val="17"/>
        </w:numPr>
        <w:tabs>
          <w:tab w:val="left" w:pos="851"/>
        </w:tabs>
        <w:rPr>
          <w:rFonts w:ascii="Open Sans" w:hAnsi="Open Sans" w:cs="Open Sans"/>
          <w:color w:val="000000" w:themeColor="text1"/>
          <w:sz w:val="20"/>
          <w:szCs w:val="20"/>
        </w:rPr>
      </w:pPr>
      <w:r w:rsidRPr="00F346C1">
        <w:rPr>
          <w:rFonts w:ascii="Open Sans" w:hAnsi="Open Sans" w:cs="Open Sans"/>
          <w:color w:val="000000" w:themeColor="text1"/>
          <w:sz w:val="20"/>
          <w:szCs w:val="20"/>
        </w:rPr>
        <w:t>3M’s focus today is on creating a pipeline for careers in STEM starting with educational programs in the Minneapolis school system (early K-12, or “K to Career” STEM)</w:t>
      </w:r>
    </w:p>
    <w:p w14:paraId="1797C587" w14:textId="2C4D0E85" w:rsidR="00A479DF" w:rsidRPr="00F346C1" w:rsidRDefault="00A479DF" w:rsidP="00A479DF">
      <w:pPr>
        <w:pStyle w:val="ListParagraph"/>
        <w:numPr>
          <w:ilvl w:val="0"/>
          <w:numId w:val="17"/>
        </w:numPr>
        <w:tabs>
          <w:tab w:val="left" w:pos="851"/>
        </w:tabs>
        <w:rPr>
          <w:rFonts w:ascii="Open Sans" w:hAnsi="Open Sans" w:cs="Open Sans"/>
          <w:color w:val="000000" w:themeColor="text1"/>
          <w:sz w:val="20"/>
          <w:szCs w:val="20"/>
        </w:rPr>
      </w:pPr>
      <w:r w:rsidRPr="00F346C1">
        <w:rPr>
          <w:rFonts w:ascii="Open Sans" w:hAnsi="Open Sans" w:cs="Open Sans"/>
          <w:color w:val="000000" w:themeColor="text1"/>
          <w:sz w:val="20"/>
          <w:szCs w:val="20"/>
        </w:rPr>
        <w:t xml:space="preserve">They have targeted colleges to expose underrepresented groups to higher education and careers in STEM, and currently support non-tenured faculty of color in universities. This is because there is the problem of the ‘leaking STEM pipeline’ – not enough are reaching to, and pursuing, careers. And for those that do, there are not enough teachers of color and diversity on that level. </w:t>
      </w:r>
    </w:p>
    <w:p w14:paraId="24C00476" w14:textId="72483537" w:rsidR="002C3E35" w:rsidRPr="00F346C1" w:rsidRDefault="00A479DF" w:rsidP="00A479DF">
      <w:pPr>
        <w:pStyle w:val="ListParagraph"/>
        <w:numPr>
          <w:ilvl w:val="0"/>
          <w:numId w:val="17"/>
        </w:numPr>
        <w:rPr>
          <w:rFonts w:ascii="Open Sans" w:hAnsi="Open Sans" w:cs="Open Sans"/>
          <w:color w:val="000000" w:themeColor="text1"/>
          <w:sz w:val="20"/>
          <w:szCs w:val="20"/>
        </w:rPr>
      </w:pPr>
      <w:r w:rsidRPr="00F346C1">
        <w:rPr>
          <w:rFonts w:ascii="Open Sans" w:hAnsi="Open Sans" w:cs="Open Sans"/>
          <w:color w:val="000000" w:themeColor="text1"/>
          <w:sz w:val="20"/>
          <w:szCs w:val="20"/>
        </w:rPr>
        <w:t xml:space="preserve">They also focus on </w:t>
      </w:r>
      <w:r w:rsidRPr="00F346C1">
        <w:rPr>
          <w:rFonts w:ascii="Open Sans" w:hAnsi="Open Sans" w:cs="Open Sans"/>
          <w:color w:val="000000"/>
          <w:sz w:val="20"/>
          <w:szCs w:val="20"/>
        </w:rPr>
        <w:t xml:space="preserve">“science-encouragement programs”, not just raising awareness. </w:t>
      </w:r>
    </w:p>
    <w:p w14:paraId="572E69C1" w14:textId="0FA46B80" w:rsidR="00DA2CF2" w:rsidRPr="00F346C1" w:rsidRDefault="00DA2CF2" w:rsidP="00A479DF">
      <w:pPr>
        <w:pStyle w:val="ListParagraph"/>
        <w:numPr>
          <w:ilvl w:val="0"/>
          <w:numId w:val="17"/>
        </w:numPr>
        <w:rPr>
          <w:rFonts w:ascii="Open Sans" w:hAnsi="Open Sans" w:cs="Open Sans"/>
          <w:color w:val="000000" w:themeColor="text1"/>
          <w:sz w:val="20"/>
          <w:szCs w:val="20"/>
        </w:rPr>
      </w:pPr>
      <w:r w:rsidRPr="00F346C1">
        <w:rPr>
          <w:rFonts w:ascii="Open Sans" w:hAnsi="Open Sans" w:cs="Open Sans"/>
          <w:color w:val="000000"/>
          <w:sz w:val="20"/>
          <w:szCs w:val="20"/>
        </w:rPr>
        <w:t xml:space="preserve">3M created a ‘strategic roadmap’ and uses a matrix to </w:t>
      </w:r>
      <w:r w:rsidR="009D22F5" w:rsidRPr="00F346C1">
        <w:rPr>
          <w:rFonts w:ascii="Open Sans" w:hAnsi="Open Sans" w:cs="Open Sans"/>
          <w:color w:val="000000"/>
          <w:sz w:val="20"/>
          <w:szCs w:val="20"/>
        </w:rPr>
        <w:t>captures application questions and answers (the goal is to ensure giving and partnership aligns to 3Mgives and 3M Foundation):</w:t>
      </w:r>
    </w:p>
    <w:p w14:paraId="5FF32397" w14:textId="3CDE2507" w:rsidR="009D22F5" w:rsidRPr="00F346C1" w:rsidRDefault="009D22F5" w:rsidP="009D22F5">
      <w:pPr>
        <w:pStyle w:val="ListParagraph"/>
        <w:numPr>
          <w:ilvl w:val="1"/>
          <w:numId w:val="17"/>
        </w:numPr>
        <w:rPr>
          <w:rFonts w:ascii="Open Sans" w:hAnsi="Open Sans" w:cs="Open Sans"/>
          <w:color w:val="000000" w:themeColor="text1"/>
          <w:sz w:val="20"/>
          <w:szCs w:val="20"/>
        </w:rPr>
      </w:pPr>
      <w:r w:rsidRPr="00F346C1">
        <w:rPr>
          <w:rFonts w:ascii="Open Sans" w:hAnsi="Open Sans" w:cs="Open Sans"/>
          <w:color w:val="000000" w:themeColor="text1"/>
          <w:sz w:val="20"/>
          <w:szCs w:val="20"/>
        </w:rPr>
        <w:t>Commitment to equity, diversity, and inclusion through mission, demographics of end-recipients, and program investments ($)</w:t>
      </w:r>
    </w:p>
    <w:p w14:paraId="5E42D9F0" w14:textId="646EAFE5" w:rsidR="009D22F5" w:rsidRPr="00F346C1" w:rsidRDefault="009D22F5" w:rsidP="009D22F5">
      <w:pPr>
        <w:pStyle w:val="ListParagraph"/>
        <w:numPr>
          <w:ilvl w:val="1"/>
          <w:numId w:val="17"/>
        </w:numPr>
        <w:rPr>
          <w:rFonts w:ascii="Open Sans" w:hAnsi="Open Sans" w:cs="Open Sans"/>
          <w:color w:val="000000" w:themeColor="text1"/>
          <w:sz w:val="20"/>
          <w:szCs w:val="20"/>
        </w:rPr>
      </w:pPr>
      <w:r w:rsidRPr="00F346C1">
        <w:rPr>
          <w:rFonts w:ascii="Open Sans" w:hAnsi="Open Sans" w:cs="Open Sans"/>
          <w:color w:val="000000" w:themeColor="text1"/>
          <w:sz w:val="20"/>
          <w:szCs w:val="20"/>
        </w:rPr>
        <w:t>Financial health of organization and/or program</w:t>
      </w:r>
    </w:p>
    <w:p w14:paraId="055ED33D" w14:textId="6A37E485" w:rsidR="009D22F5" w:rsidRPr="00F346C1" w:rsidRDefault="009D22F5" w:rsidP="009D22F5">
      <w:pPr>
        <w:pStyle w:val="ListParagraph"/>
        <w:numPr>
          <w:ilvl w:val="1"/>
          <w:numId w:val="17"/>
        </w:numPr>
        <w:rPr>
          <w:rFonts w:ascii="Open Sans" w:hAnsi="Open Sans" w:cs="Open Sans"/>
          <w:color w:val="000000" w:themeColor="text1"/>
          <w:sz w:val="20"/>
          <w:szCs w:val="20"/>
        </w:rPr>
      </w:pPr>
      <w:r w:rsidRPr="00F346C1">
        <w:rPr>
          <w:rFonts w:ascii="Open Sans" w:hAnsi="Open Sans" w:cs="Open Sans"/>
          <w:color w:val="000000" w:themeColor="text1"/>
          <w:sz w:val="20"/>
          <w:szCs w:val="20"/>
        </w:rPr>
        <w:t>Examples of evidence-based approach in discussion of programs and results</w:t>
      </w:r>
    </w:p>
    <w:p w14:paraId="7D46B328" w14:textId="107D3D44" w:rsidR="009D22F5" w:rsidRPr="00F346C1" w:rsidRDefault="009D22F5" w:rsidP="009D22F5">
      <w:pPr>
        <w:pStyle w:val="ListParagraph"/>
        <w:numPr>
          <w:ilvl w:val="1"/>
          <w:numId w:val="17"/>
        </w:numPr>
        <w:rPr>
          <w:rFonts w:ascii="Open Sans" w:hAnsi="Open Sans" w:cs="Open Sans"/>
          <w:color w:val="000000" w:themeColor="text1"/>
          <w:sz w:val="20"/>
          <w:szCs w:val="20"/>
        </w:rPr>
      </w:pPr>
      <w:r w:rsidRPr="00F346C1">
        <w:rPr>
          <w:rFonts w:ascii="Open Sans" w:hAnsi="Open Sans" w:cs="Open Sans"/>
          <w:color w:val="000000" w:themeColor="text1"/>
          <w:sz w:val="20"/>
          <w:szCs w:val="20"/>
        </w:rPr>
        <w:t xml:space="preserve">Level of 3M employee engagement with the organization </w:t>
      </w:r>
    </w:p>
    <w:p w14:paraId="478122A7" w14:textId="77777777" w:rsidR="00A479DF" w:rsidRPr="00F346C1" w:rsidRDefault="00A479DF" w:rsidP="00A479DF">
      <w:pPr>
        <w:rPr>
          <w:rFonts w:ascii="Open Sans" w:hAnsi="Open Sans" w:cs="Open Sans"/>
          <w:color w:val="000000" w:themeColor="text1"/>
          <w:sz w:val="20"/>
          <w:szCs w:val="20"/>
        </w:rPr>
      </w:pPr>
    </w:p>
    <w:p w14:paraId="38C0893F" w14:textId="77777777" w:rsidR="002C3E35" w:rsidRPr="00F346C1" w:rsidRDefault="002C3E35" w:rsidP="002C3E35">
      <w:pPr>
        <w:tabs>
          <w:tab w:val="left" w:pos="851"/>
        </w:tabs>
        <w:rPr>
          <w:rFonts w:ascii="Open Sans" w:hAnsi="Open Sans" w:cs="Open Sans"/>
          <w:color w:val="000000" w:themeColor="text1"/>
          <w:sz w:val="20"/>
          <w:szCs w:val="20"/>
        </w:rPr>
      </w:pPr>
    </w:p>
    <w:p w14:paraId="1B75FD87" w14:textId="772CA6E7" w:rsidR="00363573" w:rsidRPr="00F346C1" w:rsidRDefault="003B0F0A">
      <w:pPr>
        <w:rPr>
          <w:rFonts w:ascii="Open Sans" w:hAnsi="Open Sans" w:cs="Open Sans"/>
          <w:b/>
          <w:bCs/>
          <w:sz w:val="20"/>
          <w:szCs w:val="20"/>
          <w:u w:val="single"/>
        </w:rPr>
      </w:pPr>
      <w:r w:rsidRPr="00F346C1">
        <w:rPr>
          <w:rFonts w:ascii="Open Sans" w:hAnsi="Open Sans" w:cs="Open Sans"/>
          <w:b/>
          <w:bCs/>
          <w:sz w:val="20"/>
          <w:szCs w:val="20"/>
          <w:u w:val="single"/>
        </w:rPr>
        <w:t xml:space="preserve">Additional </w:t>
      </w:r>
      <w:r w:rsidR="00363573" w:rsidRPr="00F346C1">
        <w:rPr>
          <w:rFonts w:ascii="Open Sans" w:hAnsi="Open Sans" w:cs="Open Sans"/>
          <w:b/>
          <w:bCs/>
          <w:sz w:val="20"/>
          <w:szCs w:val="20"/>
          <w:u w:val="single"/>
        </w:rPr>
        <w:t>Reading Materials &amp; Resources</w:t>
      </w:r>
      <w:r w:rsidRPr="00F346C1">
        <w:rPr>
          <w:rFonts w:ascii="Open Sans" w:hAnsi="Open Sans" w:cs="Open Sans"/>
          <w:b/>
          <w:bCs/>
          <w:sz w:val="20"/>
          <w:szCs w:val="20"/>
          <w:u w:val="single"/>
        </w:rPr>
        <w:t xml:space="preserve"> for Meeting #2: </w:t>
      </w:r>
    </w:p>
    <w:p w14:paraId="524414C1" w14:textId="18DD0B4E" w:rsidR="00363573" w:rsidRPr="00F346C1" w:rsidRDefault="00363573">
      <w:pPr>
        <w:rPr>
          <w:rFonts w:ascii="Open Sans" w:hAnsi="Open Sans" w:cs="Open Sans"/>
          <w:sz w:val="20"/>
          <w:szCs w:val="20"/>
        </w:rPr>
      </w:pPr>
    </w:p>
    <w:p w14:paraId="50C4DCA1" w14:textId="37833E3A" w:rsidR="00363573" w:rsidRPr="00F346C1" w:rsidRDefault="00363573" w:rsidP="00363573">
      <w:pPr>
        <w:pStyle w:val="ListParagraph"/>
        <w:numPr>
          <w:ilvl w:val="0"/>
          <w:numId w:val="5"/>
        </w:numPr>
        <w:rPr>
          <w:rFonts w:ascii="Open Sans" w:eastAsia="Times New Roman" w:hAnsi="Open Sans" w:cs="Open Sans"/>
          <w:sz w:val="20"/>
          <w:szCs w:val="20"/>
        </w:rPr>
      </w:pPr>
      <w:r w:rsidRPr="00F346C1">
        <w:rPr>
          <w:rFonts w:ascii="Open Sans" w:eastAsia="Times New Roman" w:hAnsi="Open Sans" w:cs="Open Sans"/>
          <w:sz w:val="20"/>
          <w:szCs w:val="20"/>
        </w:rPr>
        <w:t xml:space="preserve">“Incorporating Diversity, Equity, and Inclusion in Your Grant-Making Process: A List of Potential Actions”. By Arabella Advisors: A </w:t>
      </w:r>
      <w:r w:rsidRPr="00F346C1">
        <w:rPr>
          <w:rFonts w:ascii="Open Sans" w:eastAsia="Times New Roman" w:hAnsi="Open Sans" w:cs="Open Sans"/>
          <w:b/>
          <w:bCs/>
          <w:sz w:val="20"/>
          <w:szCs w:val="20"/>
        </w:rPr>
        <w:t>checklist</w:t>
      </w:r>
      <w:r w:rsidRPr="00F346C1">
        <w:rPr>
          <w:rFonts w:ascii="Open Sans" w:eastAsia="Times New Roman" w:hAnsi="Open Sans" w:cs="Open Sans"/>
          <w:sz w:val="20"/>
          <w:szCs w:val="20"/>
        </w:rPr>
        <w:t xml:space="preserve"> that grant-making organizations can use to incorporate DEI into their grant making.  </w:t>
      </w:r>
      <w:hyperlink r:id="rId13" w:history="1">
        <w:r w:rsidRPr="00F346C1">
          <w:rPr>
            <w:rStyle w:val="Hyperlink"/>
            <w:rFonts w:ascii="Open Sans" w:eastAsia="Times New Roman" w:hAnsi="Open Sans" w:cs="Open Sans"/>
            <w:sz w:val="20"/>
            <w:szCs w:val="20"/>
          </w:rPr>
          <w:t>https://www.arabellaadvisors.com/wp-content/uploads/2019/06/DEI_Grant_Making.pdf</w:t>
        </w:r>
      </w:hyperlink>
    </w:p>
    <w:p w14:paraId="2B50FF35" w14:textId="77777777" w:rsidR="00363573" w:rsidRPr="00F346C1" w:rsidRDefault="00363573" w:rsidP="00363573">
      <w:pPr>
        <w:pStyle w:val="ListParagraph"/>
        <w:rPr>
          <w:rFonts w:ascii="Open Sans" w:eastAsiaTheme="minorEastAsia" w:hAnsi="Open Sans" w:cs="Open Sans"/>
          <w:sz w:val="20"/>
          <w:szCs w:val="20"/>
        </w:rPr>
      </w:pPr>
    </w:p>
    <w:p w14:paraId="5D5B4B40" w14:textId="2F86759B" w:rsidR="00363573" w:rsidRPr="00F346C1" w:rsidRDefault="00363573" w:rsidP="00363573">
      <w:pPr>
        <w:pStyle w:val="ListParagraph"/>
        <w:numPr>
          <w:ilvl w:val="0"/>
          <w:numId w:val="5"/>
        </w:numPr>
        <w:rPr>
          <w:rFonts w:ascii="Open Sans" w:eastAsia="Times New Roman" w:hAnsi="Open Sans" w:cs="Open Sans"/>
          <w:sz w:val="20"/>
          <w:szCs w:val="20"/>
        </w:rPr>
      </w:pPr>
      <w:r w:rsidRPr="00F346C1">
        <w:rPr>
          <w:rFonts w:ascii="Open Sans" w:eastAsia="Times New Roman" w:hAnsi="Open Sans" w:cs="Open Sans"/>
          <w:sz w:val="20"/>
          <w:szCs w:val="20"/>
        </w:rPr>
        <w:t xml:space="preserve">“Grantmaking with a Racial Equity Lens”. By GrantCraft (Foundation Center), in partnership with Philanthropic Initiative for Racial Equity (PRE): A </w:t>
      </w:r>
      <w:r w:rsidRPr="00F346C1">
        <w:rPr>
          <w:rFonts w:ascii="Open Sans" w:eastAsia="Times New Roman" w:hAnsi="Open Sans" w:cs="Open Sans"/>
          <w:b/>
          <w:bCs/>
          <w:sz w:val="20"/>
          <w:szCs w:val="20"/>
        </w:rPr>
        <w:t>guide</w:t>
      </w:r>
      <w:r w:rsidRPr="00F346C1">
        <w:rPr>
          <w:rFonts w:ascii="Open Sans" w:eastAsia="Times New Roman" w:hAnsi="Open Sans" w:cs="Open Sans"/>
          <w:sz w:val="20"/>
          <w:szCs w:val="20"/>
        </w:rPr>
        <w:t xml:space="preserve"> that offers advice on promoting and deepening your foundation’s commitment to racial equity, both internally and in the programs you support. </w:t>
      </w:r>
      <w:hyperlink r:id="rId14" w:history="1">
        <w:r w:rsidR="0098099D" w:rsidRPr="00F346C1">
          <w:rPr>
            <w:rStyle w:val="Hyperlink"/>
            <w:rFonts w:ascii="Open Sans" w:eastAsia="Times New Roman" w:hAnsi="Open Sans" w:cs="Open Sans"/>
            <w:sz w:val="20"/>
            <w:szCs w:val="20"/>
          </w:rPr>
          <w:t>http://grantcraft.org/wp-content/uploads/sites/2/2018/12/equity.pdf</w:t>
        </w:r>
      </w:hyperlink>
      <w:r w:rsidR="0098099D" w:rsidRPr="00F346C1">
        <w:rPr>
          <w:rFonts w:ascii="Open Sans" w:eastAsia="Times New Roman" w:hAnsi="Open Sans" w:cs="Open Sans"/>
          <w:sz w:val="20"/>
          <w:szCs w:val="20"/>
        </w:rPr>
        <w:t xml:space="preserve"> </w:t>
      </w:r>
    </w:p>
    <w:p w14:paraId="1262BC88" w14:textId="77777777" w:rsidR="00363573" w:rsidRPr="00F346C1" w:rsidRDefault="00363573" w:rsidP="00363573">
      <w:pPr>
        <w:pStyle w:val="ListParagraph"/>
        <w:rPr>
          <w:rFonts w:ascii="Open Sans" w:eastAsiaTheme="minorEastAsia" w:hAnsi="Open Sans" w:cs="Open Sans"/>
          <w:sz w:val="20"/>
          <w:szCs w:val="20"/>
        </w:rPr>
      </w:pPr>
    </w:p>
    <w:p w14:paraId="4EC078DD" w14:textId="54344A49" w:rsidR="00363573" w:rsidRPr="00F346C1" w:rsidRDefault="00363573" w:rsidP="00A833DA">
      <w:pPr>
        <w:pStyle w:val="ListParagraph"/>
        <w:numPr>
          <w:ilvl w:val="0"/>
          <w:numId w:val="5"/>
        </w:numPr>
        <w:rPr>
          <w:rFonts w:ascii="Open Sans" w:eastAsia="Times New Roman" w:hAnsi="Open Sans" w:cs="Open Sans"/>
          <w:sz w:val="20"/>
          <w:szCs w:val="20"/>
        </w:rPr>
      </w:pPr>
      <w:r w:rsidRPr="00F346C1">
        <w:rPr>
          <w:rFonts w:ascii="Open Sans" w:eastAsia="Times New Roman" w:hAnsi="Open Sans" w:cs="Open Sans"/>
          <w:sz w:val="20"/>
          <w:szCs w:val="20"/>
        </w:rPr>
        <w:t xml:space="preserve">Recently released film </w:t>
      </w:r>
      <w:r w:rsidRPr="00F346C1">
        <w:rPr>
          <w:rFonts w:ascii="Open Sans" w:eastAsia="Times New Roman" w:hAnsi="Open Sans" w:cs="Open Sans"/>
          <w:b/>
          <w:bCs/>
          <w:sz w:val="20"/>
          <w:szCs w:val="20"/>
        </w:rPr>
        <w:t>“Just Mercy”</w:t>
      </w:r>
      <w:r w:rsidRPr="00F346C1">
        <w:rPr>
          <w:rFonts w:ascii="Open Sans" w:eastAsia="Times New Roman" w:hAnsi="Open Sans" w:cs="Open Sans"/>
          <w:sz w:val="20"/>
          <w:szCs w:val="20"/>
        </w:rPr>
        <w:t xml:space="preserve"> by Bryan Stevenson, Participant Media. A powerful film that tells the story of </w:t>
      </w:r>
      <w:hyperlink r:id="rId15" w:history="1">
        <w:r w:rsidRPr="00F346C1">
          <w:rPr>
            <w:rStyle w:val="Hyperlink"/>
            <w:rFonts w:ascii="Open Sans" w:eastAsia="Times New Roman" w:hAnsi="Open Sans" w:cs="Open Sans"/>
            <w:sz w:val="20"/>
            <w:szCs w:val="20"/>
          </w:rPr>
          <w:t>Equal Justice Initiative (EJI)</w:t>
        </w:r>
      </w:hyperlink>
      <w:r w:rsidRPr="00F346C1">
        <w:rPr>
          <w:rFonts w:ascii="Open Sans" w:eastAsia="Times New Roman" w:hAnsi="Open Sans" w:cs="Open Sans"/>
          <w:sz w:val="20"/>
          <w:szCs w:val="20"/>
        </w:rPr>
        <w:t>. Out in theaters Dec 25</w:t>
      </w:r>
      <w:r w:rsidRPr="00F346C1">
        <w:rPr>
          <w:rFonts w:ascii="Open Sans" w:eastAsia="Times New Roman" w:hAnsi="Open Sans" w:cs="Open Sans"/>
          <w:sz w:val="20"/>
          <w:szCs w:val="20"/>
          <w:vertAlign w:val="superscript"/>
        </w:rPr>
        <w:t>th</w:t>
      </w:r>
      <w:r w:rsidRPr="00F346C1">
        <w:rPr>
          <w:rFonts w:ascii="Open Sans" w:eastAsia="Times New Roman" w:hAnsi="Open Sans" w:cs="Open Sans"/>
          <w:sz w:val="20"/>
          <w:szCs w:val="20"/>
        </w:rPr>
        <w:t xml:space="preserve">, you can check for local listings here: </w:t>
      </w:r>
      <w:hyperlink r:id="rId16" w:history="1">
        <w:r w:rsidRPr="00F346C1">
          <w:rPr>
            <w:rStyle w:val="Hyperlink"/>
            <w:rFonts w:ascii="Open Sans" w:eastAsia="Times New Roman" w:hAnsi="Open Sans" w:cs="Open Sans"/>
            <w:sz w:val="20"/>
            <w:szCs w:val="20"/>
          </w:rPr>
          <w:t>https://www.shorturl.at/uAV56</w:t>
        </w:r>
      </w:hyperlink>
      <w:r w:rsidRPr="00F346C1">
        <w:rPr>
          <w:rFonts w:ascii="Open Sans" w:eastAsia="Times New Roman" w:hAnsi="Open Sans" w:cs="Open Sans"/>
          <w:sz w:val="20"/>
          <w:szCs w:val="20"/>
        </w:rPr>
        <w:t xml:space="preserve">. There are also opportunities to host a private screening for employees with a facilitated discussion led by the production company until the end of February 2020 (interest form </w:t>
      </w:r>
      <w:hyperlink r:id="rId17" w:history="1">
        <w:r w:rsidRPr="00F346C1">
          <w:rPr>
            <w:rStyle w:val="Hyperlink"/>
            <w:rFonts w:ascii="Open Sans" w:eastAsia="Times New Roman" w:hAnsi="Open Sans" w:cs="Open Sans"/>
            <w:sz w:val="20"/>
            <w:szCs w:val="20"/>
          </w:rPr>
          <w:t>here</w:t>
        </w:r>
      </w:hyperlink>
      <w:r w:rsidRPr="00F346C1">
        <w:rPr>
          <w:rFonts w:ascii="Open Sans" w:eastAsia="Times New Roman" w:hAnsi="Open Sans" w:cs="Open Sans"/>
          <w:sz w:val="20"/>
          <w:szCs w:val="20"/>
        </w:rPr>
        <w:t xml:space="preserve">; CECP can also share more information). </w:t>
      </w:r>
    </w:p>
    <w:sectPr w:rsidR="00363573" w:rsidRPr="00F346C1">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AC372A" w14:textId="77777777" w:rsidR="008F05BB" w:rsidRDefault="008F05BB" w:rsidP="00DE7E2E">
      <w:r>
        <w:separator/>
      </w:r>
    </w:p>
  </w:endnote>
  <w:endnote w:type="continuationSeparator" w:id="0">
    <w:p w14:paraId="790B3DC8" w14:textId="77777777" w:rsidR="008F05BB" w:rsidRDefault="008F05BB" w:rsidP="00DE7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delle-sans">
    <w:altName w:val="Cambria"/>
    <w:panose1 w:val="00000000000000000000"/>
    <w:charset w:val="00"/>
    <w:family w:val="roman"/>
    <w:notTrueType/>
    <w:pitch w:val="default"/>
  </w:font>
  <w:font w:name="Arial,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41BA6" w14:textId="54F64E50" w:rsidR="008F05BB" w:rsidRPr="00363573" w:rsidRDefault="008F05BB" w:rsidP="00363573">
    <w:pPr>
      <w:pStyle w:val="Footer"/>
      <w:jc w:val="center"/>
    </w:pPr>
    <w:r w:rsidRPr="00632D18">
      <w:rPr>
        <w:rFonts w:cs="Arial"/>
        <w:color w:val="00B0F0"/>
        <w:sz w:val="19"/>
        <w:szCs w:val="19"/>
      </w:rPr>
      <w:t>© 20</w:t>
    </w:r>
    <w:r>
      <w:rPr>
        <w:rFonts w:cs="Arial"/>
        <w:color w:val="00B0F0"/>
        <w:sz w:val="19"/>
        <w:szCs w:val="19"/>
      </w:rPr>
      <w:t>20</w:t>
    </w:r>
    <w:r w:rsidRPr="00632D18">
      <w:rPr>
        <w:rFonts w:cs="Arial"/>
        <w:color w:val="00B0F0"/>
        <w:sz w:val="19"/>
        <w:szCs w:val="19"/>
      </w:rPr>
      <w:t xml:space="preserve"> </w:t>
    </w:r>
    <w:r w:rsidRPr="00632D18">
      <w:rPr>
        <w:bCs/>
        <w:i/>
        <w:iCs/>
        <w:color w:val="00B0F0"/>
        <w:sz w:val="19"/>
        <w:szCs w:val="19"/>
      </w:rPr>
      <w:t>Chief Executives for Corporate Purpose (CECP)</w:t>
    </w:r>
    <w:r w:rsidRPr="00632D18">
      <w:rPr>
        <w:color w:val="00B0F0"/>
        <w:sz w:val="19"/>
        <w:szCs w:val="19"/>
      </w:rPr>
      <w:t xml:space="preserve"> | 85 Broad Street, 27th Floor, New York, NY 10004 | cecp.co</w:t>
    </w:r>
    <w:r>
      <w:rPr>
        <w:color w:val="00B0F0"/>
        <w:sz w:val="19"/>
        <w:szCs w:val="19"/>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7EB960" w14:textId="77777777" w:rsidR="008F05BB" w:rsidRDefault="008F05BB" w:rsidP="00DE7E2E">
      <w:r>
        <w:separator/>
      </w:r>
    </w:p>
  </w:footnote>
  <w:footnote w:type="continuationSeparator" w:id="0">
    <w:p w14:paraId="0BE3A999" w14:textId="77777777" w:rsidR="008F05BB" w:rsidRDefault="008F05BB" w:rsidP="00DE7E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0BBFF" w14:textId="5714E51E" w:rsidR="008F05BB" w:rsidRPr="008D348B" w:rsidRDefault="008F05BB" w:rsidP="002C3E35">
    <w:pPr>
      <w:tabs>
        <w:tab w:val="center" w:pos="4680"/>
        <w:tab w:val="right" w:pos="9360"/>
      </w:tabs>
      <w:ind w:right="-288"/>
      <w:rPr>
        <w:rFonts w:ascii="Open Sans" w:hAnsi="Open Sans" w:cs="Open Sans"/>
        <w:b/>
        <w:bCs/>
        <w:color w:val="00B0F0"/>
        <w:sz w:val="24"/>
        <w:szCs w:val="24"/>
      </w:rPr>
    </w:pPr>
    <w:r>
      <w:rPr>
        <w:noProof/>
      </w:rPr>
      <w:drawing>
        <wp:anchor distT="0" distB="0" distL="114300" distR="114300" simplePos="0" relativeHeight="251660288" behindDoc="1" locked="0" layoutInCell="1" allowOverlap="1" wp14:anchorId="31C3C665" wp14:editId="79A010D9">
          <wp:simplePos x="0" y="0"/>
          <wp:positionH relativeFrom="column">
            <wp:posOffset>4851400</wp:posOffset>
          </wp:positionH>
          <wp:positionV relativeFrom="paragraph">
            <wp:posOffset>0</wp:posOffset>
          </wp:positionV>
          <wp:extent cx="1136548" cy="521970"/>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548"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348B">
      <w:rPr>
        <w:rFonts w:ascii="Open Sans" w:hAnsi="Open Sans" w:cs="Open Sans"/>
        <w:b/>
        <w:bCs/>
        <w:color w:val="00B0F0"/>
        <w:sz w:val="24"/>
        <w:szCs w:val="24"/>
      </w:rPr>
      <w:t>Diversity, Equity and Inclusion (DEI) Accelerate Community</w:t>
    </w:r>
  </w:p>
  <w:p w14:paraId="7B690445" w14:textId="77777777" w:rsidR="008F05BB" w:rsidRPr="008D348B" w:rsidRDefault="008F05BB" w:rsidP="002C3E35">
    <w:pPr>
      <w:pStyle w:val="Header"/>
      <w:rPr>
        <w:rFonts w:ascii="Open Sans" w:hAnsi="Open Sans" w:cs="Open Sans"/>
        <w:noProof/>
      </w:rPr>
    </w:pPr>
    <w:r w:rsidRPr="008D348B">
      <w:rPr>
        <w:rFonts w:ascii="Open Sans" w:hAnsi="Open Sans" w:cs="Open Sans"/>
        <w:b/>
        <w:bCs/>
        <w:color w:val="00B0F0"/>
      </w:rPr>
      <w:t xml:space="preserve">Meeting #2: </w:t>
    </w:r>
    <w:r w:rsidRPr="008D348B">
      <w:rPr>
        <w:rFonts w:ascii="Open Sans" w:hAnsi="Open Sans" w:cs="Open Sans"/>
        <w:b/>
        <w:bCs/>
        <w:i/>
        <w:iCs/>
        <w:color w:val="00B0F0"/>
      </w:rPr>
      <w:t>Philanthropic Giving and Grantmaking with a Lens of Equity</w:t>
    </w:r>
    <w:r w:rsidRPr="008D348B">
      <w:rPr>
        <w:rFonts w:ascii="Open Sans" w:hAnsi="Open Sans" w:cs="Open Sans"/>
        <w:noProof/>
      </w:rPr>
      <w:t xml:space="preserve">  </w:t>
    </w:r>
  </w:p>
  <w:p w14:paraId="168B936F" w14:textId="23573874" w:rsidR="008F05BB" w:rsidRDefault="008F05BB" w:rsidP="002C3E35">
    <w:pPr>
      <w:rPr>
        <w:noProof/>
      </w:rPr>
    </w:pPr>
    <w:r w:rsidRPr="008D348B">
      <w:rPr>
        <w:rStyle w:val="Strong"/>
        <w:rFonts w:ascii="Open Sans" w:hAnsi="Open Sans" w:cs="Open Sans"/>
        <w:color w:val="00B0F0"/>
        <w:bdr w:val="none" w:sz="0" w:space="0" w:color="auto" w:frame="1"/>
        <w:shd w:val="clear" w:color="auto" w:fill="FFFFFF"/>
      </w:rPr>
      <w:t>Tuesday, January 28, 20</w:t>
    </w:r>
    <w:r w:rsidR="00155FF9">
      <w:rPr>
        <w:rStyle w:val="Strong"/>
        <w:rFonts w:ascii="Open Sans" w:hAnsi="Open Sans" w:cs="Open Sans"/>
        <w:color w:val="00B0F0"/>
        <w:bdr w:val="none" w:sz="0" w:space="0" w:color="auto" w:frame="1"/>
        <w:shd w:val="clear" w:color="auto" w:fill="FFFFFF"/>
      </w:rPr>
      <w:t>20</w:t>
    </w:r>
    <w:r>
      <w:rPr>
        <w:rStyle w:val="Strong"/>
        <w:rFonts w:ascii="Open Sans" w:hAnsi="Open Sans" w:cs="Open Sans"/>
        <w:color w:val="00B0F0"/>
        <w:bdr w:val="none" w:sz="0" w:space="0" w:color="auto" w:frame="1"/>
        <w:shd w:val="clear" w:color="auto" w:fill="FFFFFF"/>
      </w:rPr>
      <w:t xml:space="preserve"> (Virtual Convening)</w:t>
    </w:r>
    <w:r w:rsidRPr="002C3E35">
      <w:rPr>
        <w:noProof/>
      </w:rPr>
      <w:t xml:space="preserve"> </w:t>
    </w:r>
  </w:p>
  <w:p w14:paraId="19AD8CBA" w14:textId="20313A52" w:rsidR="008F05BB" w:rsidRPr="002C3E35" w:rsidRDefault="008F05BB" w:rsidP="002C3E35">
    <w:pPr>
      <w:rPr>
        <w:rFonts w:ascii="Open Sans" w:hAnsi="Open Sans" w:cs="Open Sans"/>
        <w:b/>
        <w:bCs/>
        <w:color w:val="00B0F0"/>
        <w:bdr w:val="none" w:sz="0" w:space="0" w:color="auto" w:frame="1"/>
        <w:shd w:val="clear" w:color="auto" w:fill="FFFF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A2E1C"/>
    <w:multiLevelType w:val="hybridMultilevel"/>
    <w:tmpl w:val="56440A7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2004B5F"/>
    <w:multiLevelType w:val="hybridMultilevel"/>
    <w:tmpl w:val="7C94A486"/>
    <w:lvl w:ilvl="0" w:tplc="2EC45FB4">
      <w:start w:val="1"/>
      <w:numFmt w:val="bullet"/>
      <w:lvlText w:val=""/>
      <w:lvlJc w:val="left"/>
      <w:pPr>
        <w:ind w:left="360" w:hanging="360"/>
      </w:pPr>
      <w:rPr>
        <w:rFonts w:ascii="Open Sans" w:hAnsi="Open Sans" w:cs="Open Sans" w:hint="default"/>
        <w:b/>
        <w:i w:val="0"/>
        <w:color w:val="00B0F0"/>
        <w:sz w:val="32"/>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407F91"/>
    <w:multiLevelType w:val="hybridMultilevel"/>
    <w:tmpl w:val="18D06A0E"/>
    <w:lvl w:ilvl="0" w:tplc="2EC45FB4">
      <w:start w:val="1"/>
      <w:numFmt w:val="bullet"/>
      <w:lvlText w:val=""/>
      <w:lvlJc w:val="left"/>
      <w:pPr>
        <w:ind w:left="360" w:hanging="360"/>
      </w:pPr>
      <w:rPr>
        <w:rFonts w:ascii="Open Sans" w:hAnsi="Open Sans" w:cs="Open Sans" w:hint="default"/>
        <w:b/>
        <w:i w:val="0"/>
        <w:color w:val="00B0F0"/>
        <w:sz w:val="32"/>
        <w:szCs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D087F02"/>
    <w:multiLevelType w:val="hybridMultilevel"/>
    <w:tmpl w:val="95E01FCE"/>
    <w:lvl w:ilvl="0" w:tplc="04090001">
      <w:start w:val="1"/>
      <w:numFmt w:val="bullet"/>
      <w:lvlText w:val=""/>
      <w:lvlJc w:val="left"/>
      <w:pPr>
        <w:ind w:left="360" w:hanging="360"/>
      </w:pPr>
      <w:rPr>
        <w:rFonts w:ascii="Symbol" w:hAnsi="Symbol" w:hint="default"/>
        <w:b/>
        <w:i w:val="0"/>
        <w:color w:val="00B0F0"/>
        <w:sz w:val="3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0764B5"/>
    <w:multiLevelType w:val="hybridMultilevel"/>
    <w:tmpl w:val="595EC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7F5869"/>
    <w:multiLevelType w:val="hybridMultilevel"/>
    <w:tmpl w:val="05EED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0A17A0"/>
    <w:multiLevelType w:val="hybridMultilevel"/>
    <w:tmpl w:val="21181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0C7A8B"/>
    <w:multiLevelType w:val="hybridMultilevel"/>
    <w:tmpl w:val="17D22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FA3630"/>
    <w:multiLevelType w:val="hybridMultilevel"/>
    <w:tmpl w:val="C90E9F1E"/>
    <w:lvl w:ilvl="0" w:tplc="DCFE8D2E">
      <w:start w:val="1"/>
      <w:numFmt w:val="bullet"/>
      <w:lvlText w:val="˃"/>
      <w:lvlJc w:val="left"/>
      <w:pPr>
        <w:ind w:left="360" w:hanging="360"/>
      </w:pPr>
      <w:rPr>
        <w:rFonts w:ascii="Courier New" w:hAnsi="Courier New" w:hint="default"/>
        <w:b/>
        <w:i w:val="0"/>
        <w:color w:val="00B0F0"/>
        <w:sz w:val="3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9291806"/>
    <w:multiLevelType w:val="hybridMultilevel"/>
    <w:tmpl w:val="8A16EC4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4B92631F"/>
    <w:multiLevelType w:val="hybridMultilevel"/>
    <w:tmpl w:val="E6247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89713C"/>
    <w:multiLevelType w:val="hybridMultilevel"/>
    <w:tmpl w:val="B32E64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619C56A4"/>
    <w:multiLevelType w:val="hybridMultilevel"/>
    <w:tmpl w:val="438E0A46"/>
    <w:lvl w:ilvl="0" w:tplc="DCFE8D2E">
      <w:start w:val="1"/>
      <w:numFmt w:val="bullet"/>
      <w:lvlText w:val="˃"/>
      <w:lvlJc w:val="left"/>
      <w:pPr>
        <w:ind w:left="720" w:hanging="360"/>
      </w:pPr>
      <w:rPr>
        <w:rFonts w:ascii="Courier New" w:hAnsi="Courier New" w:hint="default"/>
        <w:b/>
        <w:i w:val="0"/>
        <w:color w:val="00B0F0"/>
        <w:sz w:val="36"/>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73274F"/>
    <w:multiLevelType w:val="hybridMultilevel"/>
    <w:tmpl w:val="4B52D8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FC293F"/>
    <w:multiLevelType w:val="hybridMultilevel"/>
    <w:tmpl w:val="17EA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680E3F"/>
    <w:multiLevelType w:val="hybridMultilevel"/>
    <w:tmpl w:val="4D6A6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F472C52"/>
    <w:multiLevelType w:val="hybridMultilevel"/>
    <w:tmpl w:val="E07ECBBE"/>
    <w:lvl w:ilvl="0" w:tplc="DCFE8D2E">
      <w:start w:val="1"/>
      <w:numFmt w:val="bullet"/>
      <w:lvlText w:val="˃"/>
      <w:lvlJc w:val="left"/>
      <w:pPr>
        <w:ind w:left="720" w:hanging="360"/>
      </w:pPr>
      <w:rPr>
        <w:rFonts w:ascii="Courier New" w:hAnsi="Courier New" w:hint="default"/>
        <w:b/>
        <w:i w:val="0"/>
        <w:color w:val="00B0F0"/>
        <w:sz w:val="36"/>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3"/>
  </w:num>
  <w:num w:numId="4">
    <w:abstractNumId w:val="0"/>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2"/>
  </w:num>
  <w:num w:numId="8">
    <w:abstractNumId w:val="11"/>
  </w:num>
  <w:num w:numId="9">
    <w:abstractNumId w:val="7"/>
  </w:num>
  <w:num w:numId="10">
    <w:abstractNumId w:val="10"/>
  </w:num>
  <w:num w:numId="11">
    <w:abstractNumId w:val="14"/>
  </w:num>
  <w:num w:numId="12">
    <w:abstractNumId w:val="9"/>
  </w:num>
  <w:num w:numId="13">
    <w:abstractNumId w:val="3"/>
  </w:num>
  <w:num w:numId="14">
    <w:abstractNumId w:val="2"/>
  </w:num>
  <w:num w:numId="15">
    <w:abstractNumId w:val="1"/>
  </w:num>
  <w:num w:numId="16">
    <w:abstractNumId w:val="5"/>
  </w:num>
  <w:num w:numId="17">
    <w:abstractNumId w:val="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E2E"/>
    <w:rsid w:val="0008767A"/>
    <w:rsid w:val="00137681"/>
    <w:rsid w:val="00155FF9"/>
    <w:rsid w:val="002616D5"/>
    <w:rsid w:val="002C3E35"/>
    <w:rsid w:val="002F5774"/>
    <w:rsid w:val="00363573"/>
    <w:rsid w:val="00382201"/>
    <w:rsid w:val="003B0F0A"/>
    <w:rsid w:val="004162EA"/>
    <w:rsid w:val="0045363B"/>
    <w:rsid w:val="00570E38"/>
    <w:rsid w:val="006B1EF2"/>
    <w:rsid w:val="007C03CD"/>
    <w:rsid w:val="008F05BB"/>
    <w:rsid w:val="0098099D"/>
    <w:rsid w:val="00981CB3"/>
    <w:rsid w:val="009C46D4"/>
    <w:rsid w:val="009D22F5"/>
    <w:rsid w:val="009E6949"/>
    <w:rsid w:val="00A479DF"/>
    <w:rsid w:val="00A833DA"/>
    <w:rsid w:val="00B973FA"/>
    <w:rsid w:val="00BE7D16"/>
    <w:rsid w:val="00CA1EFF"/>
    <w:rsid w:val="00CD188C"/>
    <w:rsid w:val="00D37CA9"/>
    <w:rsid w:val="00DA2CF2"/>
    <w:rsid w:val="00DA43AA"/>
    <w:rsid w:val="00DA497C"/>
    <w:rsid w:val="00DE7E2E"/>
    <w:rsid w:val="00DF5C9F"/>
    <w:rsid w:val="00F346C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4DFE33"/>
  <w15:chartTrackingRefBased/>
  <w15:docId w15:val="{A18ABAAD-4349-490E-A63A-D32A8973F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Open Sans" w:eastAsiaTheme="minorHAnsi" w:hAnsi="Open Sans" w:cs="Open San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E2E"/>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E2E"/>
    <w:pPr>
      <w:tabs>
        <w:tab w:val="center" w:pos="4680"/>
        <w:tab w:val="right" w:pos="9360"/>
      </w:tabs>
    </w:pPr>
  </w:style>
  <w:style w:type="character" w:customStyle="1" w:styleId="HeaderChar">
    <w:name w:val="Header Char"/>
    <w:basedOn w:val="DefaultParagraphFont"/>
    <w:link w:val="Header"/>
    <w:uiPriority w:val="99"/>
    <w:rsid w:val="00DE7E2E"/>
  </w:style>
  <w:style w:type="paragraph" w:styleId="Footer">
    <w:name w:val="footer"/>
    <w:basedOn w:val="Normal"/>
    <w:link w:val="FooterChar"/>
    <w:uiPriority w:val="99"/>
    <w:unhideWhenUsed/>
    <w:rsid w:val="00DE7E2E"/>
    <w:pPr>
      <w:tabs>
        <w:tab w:val="center" w:pos="4680"/>
        <w:tab w:val="right" w:pos="9360"/>
      </w:tabs>
    </w:pPr>
  </w:style>
  <w:style w:type="character" w:customStyle="1" w:styleId="FooterChar">
    <w:name w:val="Footer Char"/>
    <w:basedOn w:val="DefaultParagraphFont"/>
    <w:link w:val="Footer"/>
    <w:uiPriority w:val="99"/>
    <w:rsid w:val="00DE7E2E"/>
  </w:style>
  <w:style w:type="paragraph" w:styleId="ListParagraph">
    <w:name w:val="List Paragraph"/>
    <w:basedOn w:val="Normal"/>
    <w:uiPriority w:val="34"/>
    <w:qFormat/>
    <w:rsid w:val="00DE7E2E"/>
    <w:pPr>
      <w:ind w:left="720"/>
    </w:pPr>
  </w:style>
  <w:style w:type="character" w:styleId="Strong">
    <w:name w:val="Strong"/>
    <w:basedOn w:val="DefaultParagraphFont"/>
    <w:uiPriority w:val="22"/>
    <w:qFormat/>
    <w:rsid w:val="00DE7E2E"/>
    <w:rPr>
      <w:b/>
      <w:bCs/>
    </w:rPr>
  </w:style>
  <w:style w:type="character" w:styleId="Hyperlink">
    <w:name w:val="Hyperlink"/>
    <w:basedOn w:val="DefaultParagraphFont"/>
    <w:uiPriority w:val="99"/>
    <w:unhideWhenUsed/>
    <w:rsid w:val="00DE7E2E"/>
    <w:rPr>
      <w:color w:val="0563C1" w:themeColor="hyperlink"/>
      <w:u w:val="single"/>
    </w:rPr>
  </w:style>
  <w:style w:type="character" w:styleId="UnresolvedMention">
    <w:name w:val="Unresolved Mention"/>
    <w:basedOn w:val="DefaultParagraphFont"/>
    <w:uiPriority w:val="99"/>
    <w:semiHidden/>
    <w:unhideWhenUsed/>
    <w:rsid w:val="00DE7E2E"/>
    <w:rPr>
      <w:color w:val="605E5C"/>
      <w:shd w:val="clear" w:color="auto" w:fill="E1DFDD"/>
    </w:rPr>
  </w:style>
  <w:style w:type="character" w:styleId="CommentReference">
    <w:name w:val="annotation reference"/>
    <w:basedOn w:val="DefaultParagraphFont"/>
    <w:uiPriority w:val="99"/>
    <w:semiHidden/>
    <w:unhideWhenUsed/>
    <w:rsid w:val="002616D5"/>
    <w:rPr>
      <w:sz w:val="16"/>
      <w:szCs w:val="16"/>
    </w:rPr>
  </w:style>
  <w:style w:type="paragraph" w:styleId="CommentText">
    <w:name w:val="annotation text"/>
    <w:basedOn w:val="Normal"/>
    <w:link w:val="CommentTextChar"/>
    <w:uiPriority w:val="99"/>
    <w:semiHidden/>
    <w:unhideWhenUsed/>
    <w:rsid w:val="002616D5"/>
    <w:rPr>
      <w:sz w:val="20"/>
      <w:szCs w:val="20"/>
    </w:rPr>
  </w:style>
  <w:style w:type="character" w:customStyle="1" w:styleId="CommentTextChar">
    <w:name w:val="Comment Text Char"/>
    <w:basedOn w:val="DefaultParagraphFont"/>
    <w:link w:val="CommentText"/>
    <w:uiPriority w:val="99"/>
    <w:semiHidden/>
    <w:rsid w:val="002616D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616D5"/>
    <w:rPr>
      <w:b/>
      <w:bCs/>
    </w:rPr>
  </w:style>
  <w:style w:type="character" w:customStyle="1" w:styleId="CommentSubjectChar">
    <w:name w:val="Comment Subject Char"/>
    <w:basedOn w:val="CommentTextChar"/>
    <w:link w:val="CommentSubject"/>
    <w:uiPriority w:val="99"/>
    <w:semiHidden/>
    <w:rsid w:val="002616D5"/>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2616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16D5"/>
    <w:rPr>
      <w:rFonts w:ascii="Segoe UI" w:eastAsia="Calibri" w:hAnsi="Segoe UI" w:cs="Segoe UI"/>
      <w:sz w:val="18"/>
      <w:szCs w:val="18"/>
    </w:rPr>
  </w:style>
  <w:style w:type="table" w:styleId="TableGrid">
    <w:name w:val="Table Grid"/>
    <w:basedOn w:val="TableNormal"/>
    <w:uiPriority w:val="59"/>
    <w:rsid w:val="002C3E35"/>
    <w:pPr>
      <w:spacing w:after="0" w:line="240" w:lineRule="auto"/>
    </w:pPr>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C3E35"/>
    <w:pPr>
      <w:spacing w:before="100" w:beforeAutospacing="1" w:after="100" w:afterAutospacing="1"/>
    </w:pPr>
    <w:rPr>
      <w:rFonts w:ascii="Times New Roman" w:eastAsia="Times New Roman" w:hAnsi="Times New Roman"/>
      <w:sz w:val="24"/>
      <w:szCs w:val="24"/>
    </w:rPr>
  </w:style>
  <w:style w:type="paragraph" w:styleId="NoSpacing">
    <w:name w:val="No Spacing"/>
    <w:uiPriority w:val="1"/>
    <w:qFormat/>
    <w:rsid w:val="00F346C1"/>
    <w:pPr>
      <w:spacing w:after="0" w:line="240" w:lineRule="auto"/>
    </w:pPr>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341229">
      <w:bodyDiv w:val="1"/>
      <w:marLeft w:val="0"/>
      <w:marRight w:val="0"/>
      <w:marTop w:val="0"/>
      <w:marBottom w:val="0"/>
      <w:divBdr>
        <w:top w:val="none" w:sz="0" w:space="0" w:color="auto"/>
        <w:left w:val="none" w:sz="0" w:space="0" w:color="auto"/>
        <w:bottom w:val="none" w:sz="0" w:space="0" w:color="auto"/>
        <w:right w:val="none" w:sz="0" w:space="0" w:color="auto"/>
      </w:divBdr>
    </w:div>
    <w:div w:id="283578989">
      <w:bodyDiv w:val="1"/>
      <w:marLeft w:val="0"/>
      <w:marRight w:val="0"/>
      <w:marTop w:val="0"/>
      <w:marBottom w:val="0"/>
      <w:divBdr>
        <w:top w:val="none" w:sz="0" w:space="0" w:color="auto"/>
        <w:left w:val="none" w:sz="0" w:space="0" w:color="auto"/>
        <w:bottom w:val="none" w:sz="0" w:space="0" w:color="auto"/>
        <w:right w:val="none" w:sz="0" w:space="0" w:color="auto"/>
      </w:divBdr>
    </w:div>
    <w:div w:id="1028020677">
      <w:bodyDiv w:val="1"/>
      <w:marLeft w:val="0"/>
      <w:marRight w:val="0"/>
      <w:marTop w:val="0"/>
      <w:marBottom w:val="0"/>
      <w:divBdr>
        <w:top w:val="none" w:sz="0" w:space="0" w:color="auto"/>
        <w:left w:val="none" w:sz="0" w:space="0" w:color="auto"/>
        <w:bottom w:val="none" w:sz="0" w:space="0" w:color="auto"/>
        <w:right w:val="none" w:sz="0" w:space="0" w:color="auto"/>
      </w:divBdr>
    </w:div>
    <w:div w:id="1211190701">
      <w:bodyDiv w:val="1"/>
      <w:marLeft w:val="0"/>
      <w:marRight w:val="0"/>
      <w:marTop w:val="0"/>
      <w:marBottom w:val="0"/>
      <w:divBdr>
        <w:top w:val="none" w:sz="0" w:space="0" w:color="auto"/>
        <w:left w:val="none" w:sz="0" w:space="0" w:color="auto"/>
        <w:bottom w:val="none" w:sz="0" w:space="0" w:color="auto"/>
        <w:right w:val="none" w:sz="0" w:space="0" w:color="auto"/>
      </w:divBdr>
    </w:div>
    <w:div w:id="1452672471">
      <w:bodyDiv w:val="1"/>
      <w:marLeft w:val="0"/>
      <w:marRight w:val="0"/>
      <w:marTop w:val="0"/>
      <w:marBottom w:val="0"/>
      <w:divBdr>
        <w:top w:val="none" w:sz="0" w:space="0" w:color="auto"/>
        <w:left w:val="none" w:sz="0" w:space="0" w:color="auto"/>
        <w:bottom w:val="none" w:sz="0" w:space="0" w:color="auto"/>
        <w:right w:val="none" w:sz="0" w:space="0" w:color="auto"/>
      </w:divBdr>
    </w:div>
    <w:div w:id="1480727726">
      <w:bodyDiv w:val="1"/>
      <w:marLeft w:val="0"/>
      <w:marRight w:val="0"/>
      <w:marTop w:val="0"/>
      <w:marBottom w:val="0"/>
      <w:divBdr>
        <w:top w:val="none" w:sz="0" w:space="0" w:color="auto"/>
        <w:left w:val="none" w:sz="0" w:space="0" w:color="auto"/>
        <w:bottom w:val="none" w:sz="0" w:space="0" w:color="auto"/>
        <w:right w:val="none" w:sz="0" w:space="0" w:color="auto"/>
      </w:divBdr>
    </w:div>
    <w:div w:id="1556311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rabellaadvisors.com/wp-content/uploads/2019/06/DEI_Grant_Making.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philanthropy.com/article/Color-Blind-Assessments-of/247431" TargetMode="External"/><Relationship Id="rId17" Type="http://schemas.openxmlformats.org/officeDocument/2006/relationships/hyperlink" Target="https://docs.google.com/forms/d/e/1FAIpQLScHzPuL9qFv-71xgtNT_-G42drEbVBKJqwiE9S5Y3-jVI1kLA/viewform" TargetMode="External"/><Relationship Id="rId2" Type="http://schemas.openxmlformats.org/officeDocument/2006/relationships/numbering" Target="numbering.xml"/><Relationship Id="rId16" Type="http://schemas.openxmlformats.org/officeDocument/2006/relationships/hyperlink" Target="https://www.shorturl.at/uAV56"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ff.org/commentary/nonprofit-resource-equity-and-access-call-close-gap" TargetMode="External"/><Relationship Id="rId5" Type="http://schemas.openxmlformats.org/officeDocument/2006/relationships/webSettings" Target="webSettings.xml"/><Relationship Id="rId15" Type="http://schemas.openxmlformats.org/officeDocument/2006/relationships/hyperlink" Target="https://eji.org/" TargetMode="External"/><Relationship Id="rId10" Type="http://schemas.openxmlformats.org/officeDocument/2006/relationships/hyperlink" Target="https://nff.org/fundamental/addressing-racially-biased-financial-analysi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grantcraft.org/wp-content/uploads/sites/2/2018/12/equity.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12527-8819-4743-8340-992A6BB9F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1563</Words>
  <Characters>8915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Quintero-Rivera</dc:creator>
  <cp:keywords/>
  <dc:description/>
  <cp:lastModifiedBy>JJeong</cp:lastModifiedBy>
  <cp:revision>4</cp:revision>
  <cp:lastPrinted>2020-06-14T02:35:00Z</cp:lastPrinted>
  <dcterms:created xsi:type="dcterms:W3CDTF">2020-02-18T14:34:00Z</dcterms:created>
  <dcterms:modified xsi:type="dcterms:W3CDTF">2020-06-14T02:35:00Z</dcterms:modified>
</cp:coreProperties>
</file>